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EC" w:rsidRPr="007C45A7" w:rsidRDefault="008710EC" w:rsidP="00431B83">
      <w:pPr>
        <w:spacing w:after="0" w:line="480" w:lineRule="auto"/>
        <w:jc w:val="center"/>
      </w:pPr>
      <w:bookmarkStart w:id="0" w:name="_GoBack"/>
      <w:bookmarkEnd w:id="0"/>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8710EC" w:rsidRPr="007C45A7" w:rsidRDefault="008710EC" w:rsidP="00431B83">
      <w:pPr>
        <w:spacing w:after="0" w:line="480" w:lineRule="auto"/>
        <w:jc w:val="center"/>
      </w:pPr>
    </w:p>
    <w:p w:rsidR="00574D6A" w:rsidRPr="007C45A7" w:rsidRDefault="008710EC" w:rsidP="00431B83">
      <w:pPr>
        <w:spacing w:after="0" w:line="480" w:lineRule="auto"/>
        <w:jc w:val="center"/>
      </w:pPr>
      <w:r w:rsidRPr="007C45A7">
        <w:t>Financial Statement Analysis Applying Ratios</w:t>
      </w:r>
    </w:p>
    <w:p w:rsidR="008710EC" w:rsidRPr="007C45A7" w:rsidRDefault="008710EC" w:rsidP="00431B83">
      <w:pPr>
        <w:spacing w:after="0" w:line="480" w:lineRule="auto"/>
        <w:jc w:val="center"/>
      </w:pPr>
      <w:r w:rsidRPr="007C45A7">
        <w:t>[Name of the Writer]</w:t>
      </w:r>
    </w:p>
    <w:p w:rsidR="008710EC" w:rsidRPr="007C45A7" w:rsidRDefault="008710EC" w:rsidP="00431B83">
      <w:pPr>
        <w:spacing w:after="0" w:line="480" w:lineRule="auto"/>
        <w:jc w:val="center"/>
      </w:pPr>
      <w:r w:rsidRPr="007C45A7">
        <w:t>[Name of the Institution]</w:t>
      </w:r>
    </w:p>
    <w:p w:rsidR="008710EC" w:rsidRPr="007C45A7" w:rsidRDefault="008710EC" w:rsidP="00431B83">
      <w:pPr>
        <w:spacing w:after="0" w:line="480" w:lineRule="auto"/>
        <w:jc w:val="center"/>
      </w:pPr>
      <w:r w:rsidRPr="007C45A7">
        <w:t>[Subject]</w:t>
      </w:r>
    </w:p>
    <w:p w:rsidR="008710EC" w:rsidRPr="007C45A7" w:rsidRDefault="008710EC" w:rsidP="00431B83">
      <w:pPr>
        <w:spacing w:after="0" w:line="480" w:lineRule="auto"/>
        <w:jc w:val="center"/>
      </w:pPr>
      <w:r w:rsidRPr="007C45A7">
        <w:t>[Date]</w:t>
      </w:r>
    </w:p>
    <w:p w:rsidR="00555806" w:rsidRPr="007C45A7" w:rsidRDefault="001F585A" w:rsidP="00431B83">
      <w:pPr>
        <w:spacing w:after="0" w:line="480" w:lineRule="auto"/>
        <w:jc w:val="center"/>
      </w:pPr>
      <w:r w:rsidRPr="007C45A7">
        <w:br w:type="page"/>
      </w:r>
      <w:r w:rsidR="00555806" w:rsidRPr="007C45A7">
        <w:lastRenderedPageBreak/>
        <w:t>Financial Statement Analysis Applying Ratios</w:t>
      </w:r>
    </w:p>
    <w:p w:rsidR="008710EC" w:rsidRPr="007C45A7" w:rsidRDefault="00421DD5" w:rsidP="00431B83">
      <w:pPr>
        <w:spacing w:after="0" w:line="480" w:lineRule="auto"/>
        <w:jc w:val="center"/>
        <w:rPr>
          <w:b/>
        </w:rPr>
      </w:pPr>
      <w:r w:rsidRPr="007C45A7">
        <w:rPr>
          <w:b/>
        </w:rPr>
        <w:t>Profitability Ratio</w:t>
      </w:r>
    </w:p>
    <w:p w:rsidR="00421DD5" w:rsidRPr="007C45A7" w:rsidRDefault="00421DD5" w:rsidP="00431B83">
      <w:pPr>
        <w:spacing w:after="0" w:line="480" w:lineRule="auto"/>
        <w:rPr>
          <w:b/>
        </w:rPr>
      </w:pPr>
      <w:r w:rsidRPr="007C45A7">
        <w:rPr>
          <w:b/>
        </w:rPr>
        <w:t xml:space="preserve">Gross Profit Margin </w:t>
      </w:r>
    </w:p>
    <w:p w:rsidR="00421DD5" w:rsidRPr="007C45A7" w:rsidRDefault="00421DD5" w:rsidP="00431B83">
      <w:pPr>
        <w:spacing w:after="0" w:line="480" w:lineRule="auto"/>
      </w:pPr>
      <w:r w:rsidRPr="007C45A7">
        <w:t xml:space="preserve">Formula: Gross Profit/ </w:t>
      </w:r>
      <w:r w:rsidR="00A72130" w:rsidRPr="007C45A7">
        <w:t xml:space="preserve">Total </w:t>
      </w:r>
      <w:r w:rsidRPr="007C45A7">
        <w:t xml:space="preserve">Revenue x 100 </w:t>
      </w:r>
    </w:p>
    <w:p w:rsidR="00421DD5" w:rsidRPr="007C45A7" w:rsidRDefault="00421DD5" w:rsidP="00431B83">
      <w:pPr>
        <w:spacing w:after="0" w:line="480" w:lineRule="auto"/>
        <w:ind w:left="720"/>
        <w:rPr>
          <w:b/>
        </w:rPr>
      </w:pPr>
      <w:r w:rsidRPr="007C45A7">
        <w:rPr>
          <w:b/>
        </w:rPr>
        <w:t>Apple Inc. (APPL)</w:t>
      </w:r>
    </w:p>
    <w:tbl>
      <w:tblPr>
        <w:tblStyle w:val="TableGrid"/>
        <w:tblW w:w="9220" w:type="dxa"/>
        <w:tblLook w:val="04A0" w:firstRow="1" w:lastRow="0" w:firstColumn="1" w:lastColumn="0" w:noHBand="0" w:noVBand="1"/>
      </w:tblPr>
      <w:tblGrid>
        <w:gridCol w:w="3460"/>
        <w:gridCol w:w="1280"/>
        <w:gridCol w:w="1120"/>
        <w:gridCol w:w="1120"/>
        <w:gridCol w:w="1120"/>
        <w:gridCol w:w="1120"/>
      </w:tblGrid>
      <w:tr w:rsidR="000C1F92" w:rsidRPr="007C45A7" w:rsidTr="000C1F92">
        <w:trPr>
          <w:trHeight w:val="300"/>
        </w:trPr>
        <w:tc>
          <w:tcPr>
            <w:tcW w:w="3460" w:type="dxa"/>
            <w:noWrap/>
            <w:hideMark/>
          </w:tcPr>
          <w:p w:rsidR="000C1F92" w:rsidRPr="007C45A7" w:rsidRDefault="000C1F92" w:rsidP="00431B83">
            <w:pPr>
              <w:spacing w:line="360" w:lineRule="auto"/>
              <w:rPr>
                <w:rFonts w:eastAsia="Times New Roman"/>
                <w:color w:val="000000"/>
                <w:sz w:val="22"/>
                <w:lang w:val="en-US"/>
              </w:rPr>
            </w:pPr>
            <w:r w:rsidRPr="007C45A7">
              <w:rPr>
                <w:rFonts w:eastAsia="Times New Roman"/>
                <w:color w:val="000000"/>
                <w:sz w:val="22"/>
                <w:lang w:val="en-US"/>
              </w:rPr>
              <w:t> </w:t>
            </w:r>
          </w:p>
        </w:tc>
        <w:tc>
          <w:tcPr>
            <w:tcW w:w="128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2013</w:t>
            </w:r>
          </w:p>
        </w:tc>
        <w:tc>
          <w:tcPr>
            <w:tcW w:w="112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2014</w:t>
            </w:r>
          </w:p>
        </w:tc>
        <w:tc>
          <w:tcPr>
            <w:tcW w:w="112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2015</w:t>
            </w:r>
          </w:p>
        </w:tc>
        <w:tc>
          <w:tcPr>
            <w:tcW w:w="112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2016</w:t>
            </w:r>
          </w:p>
        </w:tc>
        <w:tc>
          <w:tcPr>
            <w:tcW w:w="112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2017</w:t>
            </w:r>
          </w:p>
        </w:tc>
      </w:tr>
      <w:tr w:rsidR="000C1F92" w:rsidRPr="007C45A7" w:rsidTr="000C1F92">
        <w:trPr>
          <w:trHeight w:val="300"/>
        </w:trPr>
        <w:tc>
          <w:tcPr>
            <w:tcW w:w="3460" w:type="dxa"/>
            <w:noWrap/>
            <w:hideMark/>
          </w:tcPr>
          <w:p w:rsidR="000C1F92" w:rsidRPr="007C45A7" w:rsidRDefault="000C1F92" w:rsidP="00431B83">
            <w:pPr>
              <w:spacing w:line="360" w:lineRule="auto"/>
              <w:rPr>
                <w:rFonts w:eastAsia="Times New Roman"/>
                <w:color w:val="000000"/>
                <w:sz w:val="22"/>
                <w:lang w:val="en-US"/>
              </w:rPr>
            </w:pPr>
            <w:r w:rsidRPr="007C45A7">
              <w:rPr>
                <w:rFonts w:eastAsia="Times New Roman"/>
                <w:color w:val="000000"/>
                <w:sz w:val="22"/>
                <w:lang w:val="en-US"/>
              </w:rPr>
              <w:t>Gross Profit Margin</w:t>
            </w:r>
          </w:p>
        </w:tc>
        <w:tc>
          <w:tcPr>
            <w:tcW w:w="1280" w:type="dxa"/>
            <w:noWrap/>
            <w:hideMark/>
          </w:tcPr>
          <w:p w:rsidR="000C1F92" w:rsidRPr="007C45A7" w:rsidRDefault="000C1F92" w:rsidP="00431B83">
            <w:pPr>
              <w:spacing w:line="360" w:lineRule="auto"/>
              <w:jc w:val="center"/>
              <w:rPr>
                <w:rFonts w:eastAsia="Times New Roman"/>
                <w:color w:val="000000"/>
                <w:sz w:val="22"/>
                <w:lang w:val="en-US"/>
              </w:rPr>
            </w:pPr>
            <w:r w:rsidRPr="007C45A7">
              <w:rPr>
                <w:rFonts w:eastAsia="Times New Roman"/>
                <w:color w:val="000000"/>
                <w:sz w:val="22"/>
                <w:lang w:val="en-US"/>
              </w:rPr>
              <w:t>37.62%</w:t>
            </w:r>
          </w:p>
        </w:tc>
        <w:tc>
          <w:tcPr>
            <w:tcW w:w="1120" w:type="dxa"/>
            <w:noWrap/>
            <w:hideMark/>
          </w:tcPr>
          <w:p w:rsidR="000C1F92" w:rsidRPr="007C45A7" w:rsidRDefault="000C1F92" w:rsidP="00431B83">
            <w:pPr>
              <w:spacing w:line="360" w:lineRule="auto"/>
              <w:jc w:val="center"/>
              <w:rPr>
                <w:rFonts w:eastAsia="Times New Roman"/>
                <w:color w:val="000000"/>
                <w:sz w:val="22"/>
                <w:lang w:val="en-US"/>
              </w:rPr>
            </w:pPr>
            <w:r w:rsidRPr="007C45A7">
              <w:rPr>
                <w:rFonts w:eastAsia="Times New Roman"/>
                <w:color w:val="000000"/>
                <w:sz w:val="22"/>
                <w:lang w:val="en-US"/>
              </w:rPr>
              <w:t>38.59%</w:t>
            </w:r>
          </w:p>
        </w:tc>
        <w:tc>
          <w:tcPr>
            <w:tcW w:w="1120" w:type="dxa"/>
            <w:noWrap/>
            <w:hideMark/>
          </w:tcPr>
          <w:p w:rsidR="000C1F92" w:rsidRPr="007C45A7" w:rsidRDefault="000C1F92" w:rsidP="00431B83">
            <w:pPr>
              <w:spacing w:line="360" w:lineRule="auto"/>
              <w:jc w:val="center"/>
              <w:rPr>
                <w:rFonts w:eastAsia="Times New Roman"/>
                <w:color w:val="000000"/>
                <w:sz w:val="22"/>
                <w:lang w:val="en-US"/>
              </w:rPr>
            </w:pPr>
            <w:r w:rsidRPr="007C45A7">
              <w:rPr>
                <w:rFonts w:eastAsia="Times New Roman"/>
                <w:color w:val="000000"/>
                <w:sz w:val="22"/>
                <w:lang w:val="en-US"/>
              </w:rPr>
              <w:t>40.06%</w:t>
            </w:r>
          </w:p>
        </w:tc>
        <w:tc>
          <w:tcPr>
            <w:tcW w:w="1120" w:type="dxa"/>
            <w:noWrap/>
            <w:hideMark/>
          </w:tcPr>
          <w:p w:rsidR="000C1F92" w:rsidRPr="007C45A7" w:rsidRDefault="000C1F92" w:rsidP="00431B83">
            <w:pPr>
              <w:spacing w:line="360" w:lineRule="auto"/>
              <w:jc w:val="center"/>
              <w:rPr>
                <w:rFonts w:eastAsia="Times New Roman"/>
                <w:color w:val="000000"/>
                <w:sz w:val="22"/>
                <w:lang w:val="en-US"/>
              </w:rPr>
            </w:pPr>
            <w:r w:rsidRPr="007C45A7">
              <w:rPr>
                <w:rFonts w:eastAsia="Times New Roman"/>
                <w:color w:val="000000"/>
                <w:sz w:val="22"/>
                <w:lang w:val="en-US"/>
              </w:rPr>
              <w:t>39.08%</w:t>
            </w:r>
          </w:p>
        </w:tc>
        <w:tc>
          <w:tcPr>
            <w:tcW w:w="1120" w:type="dxa"/>
            <w:noWrap/>
            <w:hideMark/>
          </w:tcPr>
          <w:p w:rsidR="000C1F92" w:rsidRPr="007C45A7" w:rsidRDefault="000C1F92" w:rsidP="00431B83">
            <w:pPr>
              <w:spacing w:line="360" w:lineRule="auto"/>
              <w:jc w:val="center"/>
              <w:rPr>
                <w:rFonts w:eastAsia="Times New Roman"/>
                <w:color w:val="000000"/>
                <w:sz w:val="22"/>
                <w:lang w:val="en-US"/>
              </w:rPr>
            </w:pPr>
            <w:r w:rsidRPr="007C45A7">
              <w:rPr>
                <w:rFonts w:eastAsia="Times New Roman"/>
                <w:color w:val="000000"/>
                <w:sz w:val="22"/>
                <w:lang w:val="en-US"/>
              </w:rPr>
              <w:t>38.47%</w:t>
            </w:r>
          </w:p>
        </w:tc>
      </w:tr>
    </w:tbl>
    <w:p w:rsidR="00302EA0" w:rsidRDefault="00302EA0" w:rsidP="00431B83">
      <w:pPr>
        <w:spacing w:after="0" w:line="480" w:lineRule="auto"/>
        <w:ind w:left="720"/>
        <w:rPr>
          <w:b/>
        </w:rPr>
      </w:pPr>
    </w:p>
    <w:p w:rsidR="00421DD5" w:rsidRPr="007C45A7" w:rsidRDefault="00421DD5" w:rsidP="00431B83">
      <w:pPr>
        <w:spacing w:after="0" w:line="480" w:lineRule="auto"/>
        <w:ind w:left="720"/>
      </w:pPr>
      <w:r w:rsidRPr="007C45A7">
        <w:rPr>
          <w:b/>
        </w:rPr>
        <w:t>Microsoft Corp (MSFT)</w:t>
      </w:r>
    </w:p>
    <w:tbl>
      <w:tblPr>
        <w:tblStyle w:val="TableGrid"/>
        <w:tblW w:w="8260" w:type="dxa"/>
        <w:tblLook w:val="04A0" w:firstRow="1" w:lastRow="0" w:firstColumn="1" w:lastColumn="0" w:noHBand="0" w:noVBand="1"/>
      </w:tblPr>
      <w:tblGrid>
        <w:gridCol w:w="3460"/>
        <w:gridCol w:w="960"/>
        <w:gridCol w:w="960"/>
        <w:gridCol w:w="960"/>
        <w:gridCol w:w="960"/>
        <w:gridCol w:w="960"/>
      </w:tblGrid>
      <w:tr w:rsidR="000C1F92" w:rsidRPr="007C45A7" w:rsidTr="000C1F92">
        <w:trPr>
          <w:trHeight w:val="300"/>
        </w:trPr>
        <w:tc>
          <w:tcPr>
            <w:tcW w:w="3460" w:type="dxa"/>
            <w:noWrap/>
            <w:hideMark/>
          </w:tcPr>
          <w:p w:rsidR="000C1F92" w:rsidRPr="007C45A7" w:rsidRDefault="000C1F92" w:rsidP="00431B83">
            <w:pPr>
              <w:spacing w:line="360" w:lineRule="auto"/>
              <w:rPr>
                <w:rFonts w:eastAsia="Times New Roman"/>
                <w:color w:val="000000"/>
                <w:sz w:val="22"/>
                <w:lang w:val="en-US"/>
              </w:rPr>
            </w:pPr>
            <w:r w:rsidRPr="007C45A7">
              <w:rPr>
                <w:rFonts w:eastAsia="Times New Roman"/>
                <w:color w:val="000000"/>
                <w:sz w:val="22"/>
                <w:lang w:val="en-US"/>
              </w:rPr>
              <w:t> </w:t>
            </w:r>
          </w:p>
        </w:tc>
        <w:tc>
          <w:tcPr>
            <w:tcW w:w="96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2013</w:t>
            </w:r>
          </w:p>
        </w:tc>
        <w:tc>
          <w:tcPr>
            <w:tcW w:w="96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2014</w:t>
            </w:r>
          </w:p>
        </w:tc>
        <w:tc>
          <w:tcPr>
            <w:tcW w:w="96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2015</w:t>
            </w:r>
          </w:p>
        </w:tc>
        <w:tc>
          <w:tcPr>
            <w:tcW w:w="96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2016</w:t>
            </w:r>
          </w:p>
        </w:tc>
        <w:tc>
          <w:tcPr>
            <w:tcW w:w="960" w:type="dxa"/>
            <w:noWrap/>
            <w:hideMark/>
          </w:tcPr>
          <w:p w:rsidR="000C1F92" w:rsidRPr="007C45A7" w:rsidRDefault="000C1F92" w:rsidP="00431B83">
            <w:pPr>
              <w:spacing w:line="360" w:lineRule="auto"/>
              <w:jc w:val="center"/>
              <w:rPr>
                <w:rFonts w:eastAsia="Times New Roman"/>
                <w:b/>
                <w:bCs/>
                <w:color w:val="000000"/>
                <w:sz w:val="22"/>
                <w:lang w:val="en-US"/>
              </w:rPr>
            </w:pPr>
            <w:r w:rsidRPr="007C45A7">
              <w:rPr>
                <w:rFonts w:eastAsia="Times New Roman"/>
                <w:b/>
                <w:bCs/>
                <w:color w:val="000000"/>
                <w:sz w:val="22"/>
                <w:lang w:val="en-US"/>
              </w:rPr>
              <w:t>2017</w:t>
            </w:r>
          </w:p>
        </w:tc>
      </w:tr>
      <w:tr w:rsidR="000C1F92" w:rsidRPr="007C45A7" w:rsidTr="000C1F92">
        <w:trPr>
          <w:trHeight w:val="300"/>
        </w:trPr>
        <w:tc>
          <w:tcPr>
            <w:tcW w:w="3460" w:type="dxa"/>
            <w:noWrap/>
            <w:hideMark/>
          </w:tcPr>
          <w:p w:rsidR="000C1F92" w:rsidRPr="007C45A7" w:rsidRDefault="000C1F92" w:rsidP="00431B83">
            <w:pPr>
              <w:spacing w:line="360" w:lineRule="auto"/>
              <w:rPr>
                <w:rFonts w:eastAsia="Times New Roman"/>
                <w:color w:val="000000"/>
                <w:sz w:val="22"/>
                <w:lang w:val="en-US"/>
              </w:rPr>
            </w:pPr>
            <w:r w:rsidRPr="007C45A7">
              <w:rPr>
                <w:rFonts w:eastAsia="Times New Roman"/>
                <w:color w:val="000000"/>
                <w:sz w:val="22"/>
                <w:lang w:val="en-US"/>
              </w:rPr>
              <w:t>Gross Profit Margin</w:t>
            </w:r>
          </w:p>
        </w:tc>
        <w:tc>
          <w:tcPr>
            <w:tcW w:w="960" w:type="dxa"/>
            <w:noWrap/>
            <w:hideMark/>
          </w:tcPr>
          <w:p w:rsidR="000C1F92" w:rsidRPr="007C45A7" w:rsidRDefault="000C1F92" w:rsidP="00431B83">
            <w:pPr>
              <w:spacing w:line="360" w:lineRule="auto"/>
              <w:jc w:val="right"/>
              <w:rPr>
                <w:rFonts w:eastAsia="Times New Roman"/>
                <w:color w:val="000000"/>
                <w:sz w:val="22"/>
                <w:lang w:val="en-US"/>
              </w:rPr>
            </w:pPr>
            <w:r w:rsidRPr="007C45A7">
              <w:rPr>
                <w:rFonts w:eastAsia="Times New Roman"/>
                <w:color w:val="000000"/>
                <w:sz w:val="22"/>
                <w:lang w:val="en-US"/>
              </w:rPr>
              <w:t>73.99%</w:t>
            </w:r>
          </w:p>
        </w:tc>
        <w:tc>
          <w:tcPr>
            <w:tcW w:w="960" w:type="dxa"/>
            <w:noWrap/>
            <w:hideMark/>
          </w:tcPr>
          <w:p w:rsidR="000C1F92" w:rsidRPr="007C45A7" w:rsidRDefault="000C1F92" w:rsidP="00431B83">
            <w:pPr>
              <w:spacing w:line="360" w:lineRule="auto"/>
              <w:jc w:val="right"/>
              <w:rPr>
                <w:rFonts w:eastAsia="Times New Roman"/>
                <w:color w:val="000000"/>
                <w:sz w:val="22"/>
                <w:lang w:val="en-US"/>
              </w:rPr>
            </w:pPr>
            <w:r w:rsidRPr="007C45A7">
              <w:rPr>
                <w:rFonts w:eastAsia="Times New Roman"/>
                <w:color w:val="000000"/>
                <w:sz w:val="22"/>
                <w:lang w:val="en-US"/>
              </w:rPr>
              <w:t>68.98%</w:t>
            </w:r>
          </w:p>
        </w:tc>
        <w:tc>
          <w:tcPr>
            <w:tcW w:w="960" w:type="dxa"/>
            <w:noWrap/>
            <w:hideMark/>
          </w:tcPr>
          <w:p w:rsidR="000C1F92" w:rsidRPr="007C45A7" w:rsidRDefault="000C1F92" w:rsidP="00431B83">
            <w:pPr>
              <w:spacing w:line="360" w:lineRule="auto"/>
              <w:jc w:val="right"/>
              <w:rPr>
                <w:rFonts w:eastAsia="Times New Roman"/>
                <w:color w:val="000000"/>
                <w:sz w:val="22"/>
                <w:lang w:val="en-US"/>
              </w:rPr>
            </w:pPr>
            <w:r w:rsidRPr="007C45A7">
              <w:rPr>
                <w:rFonts w:eastAsia="Times New Roman"/>
                <w:color w:val="000000"/>
                <w:sz w:val="22"/>
                <w:lang w:val="en-US"/>
              </w:rPr>
              <w:t>64.70%</w:t>
            </w:r>
          </w:p>
        </w:tc>
        <w:tc>
          <w:tcPr>
            <w:tcW w:w="960" w:type="dxa"/>
            <w:noWrap/>
            <w:hideMark/>
          </w:tcPr>
          <w:p w:rsidR="000C1F92" w:rsidRPr="007C45A7" w:rsidRDefault="000C1F92" w:rsidP="00431B83">
            <w:pPr>
              <w:spacing w:line="360" w:lineRule="auto"/>
              <w:jc w:val="right"/>
              <w:rPr>
                <w:rFonts w:eastAsia="Times New Roman"/>
                <w:color w:val="000000"/>
                <w:sz w:val="22"/>
                <w:lang w:val="en-US"/>
              </w:rPr>
            </w:pPr>
            <w:r w:rsidRPr="007C45A7">
              <w:rPr>
                <w:rFonts w:eastAsia="Times New Roman"/>
                <w:color w:val="000000"/>
                <w:sz w:val="22"/>
                <w:lang w:val="en-US"/>
              </w:rPr>
              <w:t>61.58%</w:t>
            </w:r>
          </w:p>
        </w:tc>
        <w:tc>
          <w:tcPr>
            <w:tcW w:w="960" w:type="dxa"/>
            <w:noWrap/>
            <w:hideMark/>
          </w:tcPr>
          <w:p w:rsidR="000C1F92" w:rsidRPr="007C45A7" w:rsidRDefault="000C1F92" w:rsidP="00431B83">
            <w:pPr>
              <w:spacing w:line="360" w:lineRule="auto"/>
              <w:jc w:val="right"/>
              <w:rPr>
                <w:rFonts w:eastAsia="Times New Roman"/>
                <w:color w:val="000000"/>
                <w:sz w:val="22"/>
                <w:lang w:val="en-US"/>
              </w:rPr>
            </w:pPr>
            <w:r w:rsidRPr="007C45A7">
              <w:rPr>
                <w:rFonts w:eastAsia="Times New Roman"/>
                <w:color w:val="000000"/>
                <w:sz w:val="22"/>
                <w:lang w:val="en-US"/>
              </w:rPr>
              <w:t>61.91%</w:t>
            </w:r>
          </w:p>
        </w:tc>
      </w:tr>
    </w:tbl>
    <w:p w:rsidR="00421DD5" w:rsidRPr="007C45A7" w:rsidRDefault="00421DD5" w:rsidP="00431B83">
      <w:pPr>
        <w:spacing w:after="0" w:line="480" w:lineRule="auto"/>
      </w:pPr>
    </w:p>
    <w:p w:rsidR="000C1F92" w:rsidRPr="007C45A7" w:rsidRDefault="000C1F92" w:rsidP="00431B83">
      <w:pPr>
        <w:spacing w:after="0" w:line="480" w:lineRule="auto"/>
        <w:jc w:val="center"/>
      </w:pPr>
      <w:r w:rsidRPr="007C45A7">
        <w:rPr>
          <w:noProof/>
          <w:lang w:val="en-US"/>
        </w:rPr>
        <w:drawing>
          <wp:inline distT="0" distB="0" distL="0" distR="0" wp14:anchorId="522FEA2A" wp14:editId="48C0BAC7">
            <wp:extent cx="35242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C1F92" w:rsidRPr="007C45A7" w:rsidRDefault="000C1F92" w:rsidP="00431B83">
      <w:pPr>
        <w:spacing w:after="0" w:line="480" w:lineRule="auto"/>
        <w:ind w:firstLine="720"/>
      </w:pPr>
      <w:r w:rsidRPr="007C45A7">
        <w:t>Gross profit margin ratio of the company shows the proportion of revenues that are left over once the cost of goods sold has been deducted. It is shows the profitability of the ratio, the higher the ratio the better it is</w:t>
      </w:r>
      <w:r w:rsidR="00302EA0">
        <w:t xml:space="preserve"> (</w:t>
      </w:r>
      <w:proofErr w:type="spellStart"/>
      <w:r w:rsidR="00302EA0">
        <w:t>Wahlen</w:t>
      </w:r>
      <w:proofErr w:type="spellEnd"/>
      <w:r w:rsidR="00302EA0">
        <w:t xml:space="preserve">, </w:t>
      </w:r>
      <w:proofErr w:type="spellStart"/>
      <w:r w:rsidR="00302EA0">
        <w:t>Baginski</w:t>
      </w:r>
      <w:proofErr w:type="spellEnd"/>
      <w:r w:rsidR="00302EA0">
        <w:t xml:space="preserve"> &amp; Bradshaw, 2014)</w:t>
      </w:r>
      <w:r w:rsidRPr="007C45A7">
        <w:t xml:space="preserve">. As shown in the graph above the Gross profit margin for Microsoft Corp has declined over past 5 years from 73.99% in 2013 to 61.91% in 2017. On the other hand, while Apple Inc. has a </w:t>
      </w:r>
      <w:r w:rsidR="00A72130" w:rsidRPr="007C45A7">
        <w:t xml:space="preserve">gross profit margin lower </w:t>
      </w:r>
      <w:r w:rsidR="00A72130" w:rsidRPr="007C45A7">
        <w:lastRenderedPageBreak/>
        <w:t xml:space="preserve">than its competitor Microsoft Corp, there is an increasing trend in Gross profit margin of the company. In terms of profitability Apple Inc. is performing relatively better. </w:t>
      </w:r>
    </w:p>
    <w:p w:rsidR="00A72130" w:rsidRPr="007C45A7" w:rsidRDefault="00A72130" w:rsidP="00431B83">
      <w:pPr>
        <w:spacing w:after="0" w:line="480" w:lineRule="auto"/>
        <w:rPr>
          <w:b/>
        </w:rPr>
      </w:pPr>
      <w:r w:rsidRPr="007C45A7">
        <w:rPr>
          <w:b/>
        </w:rPr>
        <w:t>Operating Profit Margin</w:t>
      </w:r>
    </w:p>
    <w:p w:rsidR="00A72130" w:rsidRPr="007C45A7" w:rsidRDefault="00A72130" w:rsidP="00431B83">
      <w:pPr>
        <w:spacing w:after="0" w:line="480" w:lineRule="auto"/>
      </w:pPr>
      <w:r w:rsidRPr="007C45A7">
        <w:t>Formula: Operating Profit/ Total Revenue x 100</w:t>
      </w:r>
    </w:p>
    <w:p w:rsidR="00A72130" w:rsidRPr="007C45A7" w:rsidRDefault="00A72130"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A72130" w:rsidRPr="007C45A7" w:rsidTr="00A72130">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A72130" w:rsidRPr="007C45A7" w:rsidTr="00A72130">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rPr>
                <w:rFonts w:eastAsia="Times New Roman"/>
                <w:color w:val="000000"/>
                <w:sz w:val="22"/>
                <w:lang w:val="en-US"/>
              </w:rPr>
            </w:pPr>
            <w:r w:rsidRPr="007C45A7">
              <w:rPr>
                <w:rFonts w:eastAsia="Times New Roman"/>
                <w:color w:val="000000"/>
                <w:sz w:val="22"/>
                <w:lang w:val="en-US"/>
              </w:rPr>
              <w:t>Operating Profit Margin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28.67%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28.72%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30.48%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27.84%</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26.76%</w:t>
            </w:r>
          </w:p>
        </w:tc>
      </w:tr>
    </w:tbl>
    <w:p w:rsidR="00A72130" w:rsidRPr="007C45A7" w:rsidRDefault="00A72130" w:rsidP="00431B83">
      <w:pPr>
        <w:spacing w:after="0" w:line="480" w:lineRule="auto"/>
        <w:ind w:left="720"/>
        <w:rPr>
          <w:b/>
        </w:rPr>
      </w:pPr>
    </w:p>
    <w:p w:rsidR="00A72130" w:rsidRPr="007C45A7" w:rsidRDefault="00A72130"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A72130" w:rsidRPr="007C45A7" w:rsidTr="00A72130">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A72130" w:rsidRPr="007C45A7" w:rsidTr="00A72130">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rPr>
                <w:rFonts w:eastAsia="Times New Roman"/>
                <w:color w:val="000000"/>
                <w:sz w:val="22"/>
                <w:lang w:val="en-US"/>
              </w:rPr>
            </w:pPr>
            <w:r w:rsidRPr="007C45A7">
              <w:rPr>
                <w:rFonts w:eastAsia="Times New Roman"/>
                <w:color w:val="000000"/>
                <w:sz w:val="22"/>
                <w:lang w:val="en-US"/>
              </w:rPr>
              <w:t>Operating Profit Margin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34.38%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31.97%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19.41%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23.65%</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A72130" w:rsidRPr="007C45A7" w:rsidRDefault="00A72130" w:rsidP="00431B83">
            <w:pPr>
              <w:spacing w:after="0" w:line="360" w:lineRule="auto"/>
              <w:jc w:val="center"/>
              <w:rPr>
                <w:rFonts w:eastAsia="Times New Roman"/>
                <w:color w:val="000000"/>
                <w:sz w:val="22"/>
                <w:lang w:val="en-US"/>
              </w:rPr>
            </w:pPr>
            <w:r w:rsidRPr="007C45A7">
              <w:rPr>
                <w:rFonts w:eastAsia="Times New Roman"/>
                <w:color w:val="000000"/>
                <w:sz w:val="22"/>
                <w:lang w:val="en-US"/>
              </w:rPr>
              <w:t>24.82%</w:t>
            </w:r>
          </w:p>
        </w:tc>
      </w:tr>
    </w:tbl>
    <w:p w:rsidR="00A72130" w:rsidRPr="007C45A7" w:rsidRDefault="00A72130" w:rsidP="00431B83">
      <w:pPr>
        <w:spacing w:after="0" w:line="480" w:lineRule="auto"/>
        <w:rPr>
          <w:b/>
        </w:rPr>
      </w:pPr>
    </w:p>
    <w:p w:rsidR="00A72130" w:rsidRPr="007C45A7" w:rsidRDefault="00A72130" w:rsidP="00431B83">
      <w:pPr>
        <w:spacing w:after="0" w:line="480" w:lineRule="auto"/>
        <w:jc w:val="center"/>
        <w:rPr>
          <w:b/>
        </w:rPr>
      </w:pPr>
      <w:r w:rsidRPr="007C45A7">
        <w:rPr>
          <w:noProof/>
          <w:lang w:val="en-US"/>
        </w:rPr>
        <w:drawing>
          <wp:inline distT="0" distB="0" distL="0" distR="0" wp14:anchorId="082AE50D" wp14:editId="0BF1CF64">
            <wp:extent cx="4152900" cy="23717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72130" w:rsidRPr="007C45A7" w:rsidRDefault="00A72130" w:rsidP="00431B83">
      <w:pPr>
        <w:spacing w:after="0" w:line="480" w:lineRule="auto"/>
        <w:ind w:firstLine="720"/>
      </w:pPr>
      <w:r w:rsidRPr="007C45A7">
        <w:t>This ratio is another indicator of the company’s profitability. The operating profit of a company is calculated by deducting operating expenses from gross profit</w:t>
      </w:r>
      <w:r w:rsidR="00302EA0">
        <w:t xml:space="preserve"> (Titman, </w:t>
      </w:r>
      <w:proofErr w:type="spellStart"/>
      <w:r w:rsidR="00302EA0">
        <w:t>Keown</w:t>
      </w:r>
      <w:proofErr w:type="spellEnd"/>
      <w:r w:rsidR="00302EA0">
        <w:t xml:space="preserve"> &amp; Martin, 2017)</w:t>
      </w:r>
      <w:r w:rsidRPr="007C45A7">
        <w:t xml:space="preserve">. This ratio indicates the proportion of revenues available to pay the non-operating expenses of the company such as interest and tax expenses. There was a sharp decline in the Operating margin of Microsoft from 31.97% in 2014 to 19.41% in 2015; however, it has risen to </w:t>
      </w:r>
      <w:r w:rsidRPr="007C45A7">
        <w:lastRenderedPageBreak/>
        <w:t xml:space="preserve">24.82% in 2017. Apple Inc. has had a fluctuating trend in its operating profit margin, but the company has been able to keep it higher than its competitor Microsoft Corp. </w:t>
      </w:r>
    </w:p>
    <w:p w:rsidR="00660BD5" w:rsidRPr="007C45A7" w:rsidRDefault="00660BD5" w:rsidP="00431B83">
      <w:pPr>
        <w:spacing w:after="0" w:line="480" w:lineRule="auto"/>
        <w:rPr>
          <w:b/>
        </w:rPr>
      </w:pPr>
      <w:r w:rsidRPr="007C45A7">
        <w:rPr>
          <w:b/>
        </w:rPr>
        <w:t>Net Profit Margin</w:t>
      </w:r>
    </w:p>
    <w:p w:rsidR="00660BD5" w:rsidRPr="007C45A7" w:rsidRDefault="00660BD5" w:rsidP="00431B83">
      <w:pPr>
        <w:spacing w:after="0" w:line="480" w:lineRule="auto"/>
      </w:pPr>
      <w:r w:rsidRPr="007C45A7">
        <w:t xml:space="preserve">Formula: Net Income/ Total Revenues x 100 </w:t>
      </w:r>
    </w:p>
    <w:p w:rsidR="00660BD5" w:rsidRPr="007C45A7" w:rsidRDefault="00660BD5"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660BD5" w:rsidRPr="007C45A7" w:rsidTr="00660BD5">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660BD5" w:rsidRPr="007C45A7" w:rsidTr="00660BD5">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rPr>
                <w:rFonts w:eastAsia="Times New Roman"/>
                <w:color w:val="000000"/>
                <w:sz w:val="22"/>
                <w:lang w:val="en-US"/>
              </w:rPr>
            </w:pPr>
            <w:r w:rsidRPr="007C45A7">
              <w:rPr>
                <w:rFonts w:eastAsia="Times New Roman"/>
                <w:color w:val="000000"/>
                <w:sz w:val="22"/>
                <w:lang w:val="en-US"/>
              </w:rPr>
              <w:t>Net Profit Margin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21.67%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21.61%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22.85%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21.19%</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21.09%</w:t>
            </w:r>
          </w:p>
        </w:tc>
      </w:tr>
    </w:tbl>
    <w:p w:rsidR="00660BD5" w:rsidRPr="007C45A7" w:rsidRDefault="00660BD5" w:rsidP="00431B83">
      <w:pPr>
        <w:spacing w:after="0" w:line="480" w:lineRule="auto"/>
        <w:ind w:left="720"/>
        <w:rPr>
          <w:b/>
        </w:rPr>
      </w:pPr>
    </w:p>
    <w:p w:rsidR="00660BD5" w:rsidRPr="007C45A7" w:rsidRDefault="00660BD5"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660BD5" w:rsidRPr="007C45A7" w:rsidTr="00660BD5">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660BD5" w:rsidRPr="007C45A7" w:rsidTr="00660BD5">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rPr>
                <w:rFonts w:eastAsia="Times New Roman"/>
                <w:color w:val="000000"/>
                <w:sz w:val="22"/>
                <w:lang w:val="en-US"/>
              </w:rPr>
            </w:pPr>
            <w:r w:rsidRPr="007C45A7">
              <w:rPr>
                <w:rFonts w:eastAsia="Times New Roman"/>
                <w:color w:val="000000"/>
                <w:sz w:val="22"/>
                <w:lang w:val="en-US"/>
              </w:rPr>
              <w:t>Net Profit Margin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28.08%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25.42%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13.03%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19.69%</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660BD5" w:rsidRPr="007C45A7" w:rsidRDefault="00660BD5" w:rsidP="00431B83">
            <w:pPr>
              <w:spacing w:after="0" w:line="360" w:lineRule="auto"/>
              <w:jc w:val="center"/>
              <w:rPr>
                <w:rFonts w:eastAsia="Times New Roman"/>
                <w:color w:val="000000"/>
                <w:sz w:val="22"/>
                <w:lang w:val="en-US"/>
              </w:rPr>
            </w:pPr>
            <w:r w:rsidRPr="007C45A7">
              <w:rPr>
                <w:rFonts w:eastAsia="Times New Roman"/>
                <w:color w:val="000000"/>
                <w:sz w:val="22"/>
                <w:lang w:val="en-US"/>
              </w:rPr>
              <w:t>23.57%</w:t>
            </w:r>
          </w:p>
        </w:tc>
      </w:tr>
    </w:tbl>
    <w:p w:rsidR="00660BD5" w:rsidRPr="007C45A7" w:rsidRDefault="00660BD5" w:rsidP="00431B83">
      <w:pPr>
        <w:spacing w:after="0" w:line="480" w:lineRule="auto"/>
      </w:pPr>
    </w:p>
    <w:p w:rsidR="000C1F92" w:rsidRPr="007C45A7" w:rsidRDefault="00660BD5" w:rsidP="00431B83">
      <w:pPr>
        <w:tabs>
          <w:tab w:val="left" w:pos="3315"/>
        </w:tabs>
        <w:spacing w:after="0" w:line="480" w:lineRule="auto"/>
        <w:jc w:val="center"/>
      </w:pPr>
      <w:r w:rsidRPr="007C45A7">
        <w:rPr>
          <w:noProof/>
          <w:lang w:val="en-US"/>
        </w:rPr>
        <w:drawing>
          <wp:inline distT="0" distB="0" distL="0" distR="0" wp14:anchorId="3F132AE8" wp14:editId="0E449DEC">
            <wp:extent cx="3695700" cy="1943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0BD5" w:rsidRPr="007C45A7" w:rsidRDefault="00660BD5" w:rsidP="00431B83">
      <w:pPr>
        <w:tabs>
          <w:tab w:val="left" w:pos="3315"/>
        </w:tabs>
        <w:spacing w:after="0" w:line="480" w:lineRule="auto"/>
        <w:ind w:firstLine="720"/>
      </w:pPr>
      <w:r w:rsidRPr="007C45A7">
        <w:t>Net profit margin is a better indicator of profitability of the company as compared to other two ratios. It shows the ability of the company to covert its revenues in profits after deducting all expenses</w:t>
      </w:r>
      <w:r w:rsidR="00302EA0">
        <w:t xml:space="preserve"> (Titman, </w:t>
      </w:r>
      <w:proofErr w:type="spellStart"/>
      <w:r w:rsidR="00302EA0">
        <w:t>Keown</w:t>
      </w:r>
      <w:proofErr w:type="spellEnd"/>
      <w:r w:rsidR="00302EA0">
        <w:t xml:space="preserve"> &amp; Martin, 2017)</w:t>
      </w:r>
      <w:r w:rsidRPr="007C45A7">
        <w:t xml:space="preserve">. As the chart above illustrates the net profit margin of Microsoft declines in 2015, when the ratio was highest for Apple Inc., but then it has risen again in 2017. On the contrary, Apple Inc. has a relatively stable trend in its net profit margin. </w:t>
      </w:r>
    </w:p>
    <w:p w:rsidR="00211F51" w:rsidRPr="007C45A7" w:rsidRDefault="00211F51" w:rsidP="00431B83">
      <w:pPr>
        <w:tabs>
          <w:tab w:val="left" w:pos="3315"/>
        </w:tabs>
        <w:spacing w:after="0" w:line="480" w:lineRule="auto"/>
        <w:ind w:firstLine="720"/>
      </w:pPr>
      <w:r w:rsidRPr="007C45A7">
        <w:lastRenderedPageBreak/>
        <w:t xml:space="preserve">The overall profitability indicated through the ratios </w:t>
      </w:r>
      <w:r w:rsidR="00AB5C06" w:rsidRPr="007C45A7">
        <w:t>calculated</w:t>
      </w:r>
      <w:r w:rsidRPr="007C45A7">
        <w:t xml:space="preserve"> for both the company shows that Apple Inc. has been able to sustain its profitability and is in a better position as compared to Microsoft. It has been able to generate higher income by being able to respond to customer needs and preferences </w:t>
      </w:r>
      <w:r w:rsidR="002A3C49" w:rsidRPr="007C45A7">
        <w:t xml:space="preserve">with adapting new technology and introducing innovative products. </w:t>
      </w:r>
    </w:p>
    <w:p w:rsidR="00C16EEA" w:rsidRPr="007C45A7" w:rsidRDefault="00C16EEA" w:rsidP="00431B83">
      <w:pPr>
        <w:tabs>
          <w:tab w:val="left" w:pos="3315"/>
        </w:tabs>
        <w:spacing w:after="0" w:line="480" w:lineRule="auto"/>
        <w:jc w:val="center"/>
        <w:rPr>
          <w:b/>
        </w:rPr>
      </w:pPr>
      <w:r w:rsidRPr="007C45A7">
        <w:rPr>
          <w:b/>
        </w:rPr>
        <w:t>Capital</w:t>
      </w:r>
    </w:p>
    <w:p w:rsidR="00C16EEA" w:rsidRPr="007C45A7" w:rsidRDefault="00C16EEA" w:rsidP="00431B83">
      <w:pPr>
        <w:tabs>
          <w:tab w:val="left" w:pos="3315"/>
        </w:tabs>
        <w:spacing w:after="0" w:line="480" w:lineRule="auto"/>
        <w:rPr>
          <w:b/>
        </w:rPr>
      </w:pPr>
      <w:r w:rsidRPr="007C45A7">
        <w:rPr>
          <w:b/>
        </w:rPr>
        <w:t>Return on Capital Employed</w:t>
      </w:r>
    </w:p>
    <w:p w:rsidR="00C16EEA" w:rsidRPr="007C45A7" w:rsidRDefault="00444177" w:rsidP="00431B83">
      <w:pPr>
        <w:tabs>
          <w:tab w:val="left" w:pos="3315"/>
        </w:tabs>
        <w:spacing w:after="0" w:line="480" w:lineRule="auto"/>
      </w:pPr>
      <w:r w:rsidRPr="007C45A7">
        <w:t>Formula: Operating Income/ Total Assets – Total Current Liabilities x 100</w:t>
      </w:r>
    </w:p>
    <w:p w:rsidR="00444177" w:rsidRPr="007C45A7" w:rsidRDefault="00444177"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444177" w:rsidRPr="007C45A7" w:rsidTr="00444177">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444177" w:rsidRPr="007C45A7" w:rsidTr="00444177">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rPr>
                <w:rFonts w:eastAsia="Times New Roman"/>
                <w:color w:val="000000"/>
                <w:sz w:val="22"/>
                <w:lang w:val="en-US"/>
              </w:rPr>
            </w:pPr>
            <w:r w:rsidRPr="007C45A7">
              <w:rPr>
                <w:rFonts w:eastAsia="Times New Roman"/>
                <w:color w:val="000000"/>
                <w:sz w:val="22"/>
                <w:lang w:val="en-US"/>
              </w:rPr>
              <w:t>Return on Capital Employed (ROCE)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30.00%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31.18%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33.94%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24.73%</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22.35%</w:t>
            </w:r>
          </w:p>
        </w:tc>
      </w:tr>
    </w:tbl>
    <w:p w:rsidR="00444177" w:rsidRPr="007C45A7" w:rsidRDefault="00444177"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444177" w:rsidRPr="007C45A7" w:rsidTr="00444177">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444177" w:rsidRPr="007C45A7" w:rsidTr="00444177">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rPr>
                <w:rFonts w:eastAsia="Times New Roman"/>
                <w:color w:val="000000"/>
                <w:sz w:val="22"/>
                <w:lang w:val="en-US"/>
              </w:rPr>
            </w:pPr>
            <w:r w:rsidRPr="007C45A7">
              <w:rPr>
                <w:rFonts w:eastAsia="Times New Roman"/>
                <w:color w:val="000000"/>
                <w:sz w:val="22"/>
                <w:lang w:val="en-US"/>
              </w:rPr>
              <w:t>Return on Capital Employed (ROCE)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25.49%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21.90%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14.37%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15.02%</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444177" w:rsidRPr="007C45A7" w:rsidRDefault="00444177" w:rsidP="00431B83">
            <w:pPr>
              <w:spacing w:after="0" w:line="360" w:lineRule="auto"/>
              <w:jc w:val="center"/>
              <w:rPr>
                <w:rFonts w:eastAsia="Times New Roman"/>
                <w:color w:val="000000"/>
                <w:sz w:val="22"/>
                <w:lang w:val="en-US"/>
              </w:rPr>
            </w:pPr>
            <w:r w:rsidRPr="007C45A7">
              <w:rPr>
                <w:rFonts w:eastAsia="Times New Roman"/>
                <w:color w:val="000000"/>
                <w:sz w:val="22"/>
                <w:lang w:val="en-US"/>
              </w:rPr>
              <w:t>12.65%</w:t>
            </w:r>
          </w:p>
        </w:tc>
      </w:tr>
    </w:tbl>
    <w:p w:rsidR="00444177" w:rsidRPr="007C45A7" w:rsidRDefault="00444177" w:rsidP="00431B83">
      <w:pPr>
        <w:tabs>
          <w:tab w:val="left" w:pos="3315"/>
        </w:tabs>
        <w:spacing w:after="0" w:line="480" w:lineRule="auto"/>
      </w:pPr>
    </w:p>
    <w:p w:rsidR="00444177" w:rsidRPr="007C45A7" w:rsidRDefault="008D6C9D" w:rsidP="00431B83">
      <w:pPr>
        <w:tabs>
          <w:tab w:val="left" w:pos="3315"/>
        </w:tabs>
        <w:spacing w:after="0" w:line="480" w:lineRule="auto"/>
        <w:jc w:val="center"/>
      </w:pPr>
      <w:r w:rsidRPr="007C45A7">
        <w:rPr>
          <w:noProof/>
          <w:lang w:val="en-US"/>
        </w:rPr>
        <w:drawing>
          <wp:inline distT="0" distB="0" distL="0" distR="0" wp14:anchorId="0E5843EF" wp14:editId="1947A852">
            <wp:extent cx="4067175" cy="20383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0CCC" w:rsidRPr="007C45A7" w:rsidRDefault="00265DA3" w:rsidP="00431B83">
      <w:pPr>
        <w:tabs>
          <w:tab w:val="left" w:pos="3315"/>
        </w:tabs>
        <w:spacing w:after="0" w:line="480" w:lineRule="auto"/>
        <w:ind w:firstLine="720"/>
      </w:pPr>
      <w:r w:rsidRPr="007C45A7">
        <w:t xml:space="preserve">Return on Capital Employed (ROCE) is an </w:t>
      </w:r>
      <w:r w:rsidR="000D0CCC" w:rsidRPr="007C45A7">
        <w:t xml:space="preserve">indicator of the efficiency of the company in which its capital is employed. Capital employed is calculated by deducting company’s current </w:t>
      </w:r>
      <w:r w:rsidR="000D0CCC" w:rsidRPr="007C45A7">
        <w:lastRenderedPageBreak/>
        <w:t>liabilities from its total assets</w:t>
      </w:r>
      <w:r w:rsidR="00302EA0">
        <w:t xml:space="preserve"> </w:t>
      </w:r>
      <w:proofErr w:type="spellStart"/>
      <w:r w:rsidR="00302EA0">
        <w:t>Gitman</w:t>
      </w:r>
      <w:proofErr w:type="spellEnd"/>
      <w:r w:rsidR="00302EA0">
        <w:t xml:space="preserve">, </w:t>
      </w:r>
      <w:proofErr w:type="spellStart"/>
      <w:r w:rsidR="00302EA0">
        <w:t>Juchau</w:t>
      </w:r>
      <w:proofErr w:type="spellEnd"/>
      <w:r w:rsidR="00302EA0">
        <w:t>, &amp; Flanagan, 2015)</w:t>
      </w:r>
      <w:r w:rsidR="000D0CCC" w:rsidRPr="007C45A7">
        <w:t xml:space="preserve">. </w:t>
      </w:r>
      <w:r w:rsidR="002506EB" w:rsidRPr="007C45A7">
        <w:t xml:space="preserve">The ratio shows ability of the company to use its equity and debt </w:t>
      </w:r>
      <w:r w:rsidR="0012483F" w:rsidRPr="007C45A7">
        <w:t>in generating return. As indicated in the graph the ratio for both the firms has a declining trend; however, the ROCE for Apple Inc. has remained higher than Microsoft Corp.</w:t>
      </w:r>
      <w:r w:rsidR="00211F51" w:rsidRPr="007C45A7">
        <w:t xml:space="preserve"> Apple Inc. ROCE reached its peak with the ratio of 33.94% in the year 2015, but for Microsoft Corp it was significantly lower than its competitor’s i.e. 14.37%. </w:t>
      </w:r>
    </w:p>
    <w:p w:rsidR="00AB5C06" w:rsidRPr="007C45A7" w:rsidRDefault="00AB5C06" w:rsidP="00431B83">
      <w:pPr>
        <w:tabs>
          <w:tab w:val="left" w:pos="3315"/>
        </w:tabs>
        <w:spacing w:after="0" w:line="480" w:lineRule="auto"/>
        <w:rPr>
          <w:b/>
        </w:rPr>
      </w:pPr>
      <w:r w:rsidRPr="007C45A7">
        <w:rPr>
          <w:b/>
        </w:rPr>
        <w:t>Return on Total Capital (or Assets)</w:t>
      </w:r>
    </w:p>
    <w:p w:rsidR="006820B9" w:rsidRPr="007C45A7" w:rsidRDefault="006820B9" w:rsidP="00431B83">
      <w:pPr>
        <w:tabs>
          <w:tab w:val="left" w:pos="3315"/>
        </w:tabs>
        <w:spacing w:after="0" w:line="480" w:lineRule="auto"/>
      </w:pPr>
      <w:r w:rsidRPr="007C45A7">
        <w:t xml:space="preserve">Return on Total Assets = Net Income/ Total Assets x 100 </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AB5C06" w:rsidRPr="007C45A7" w:rsidTr="00AB5C06">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AB5C06" w:rsidRPr="007C45A7" w:rsidTr="00AB5C06">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rPr>
                <w:rFonts w:eastAsia="Times New Roman"/>
                <w:color w:val="000000"/>
                <w:sz w:val="22"/>
                <w:lang w:val="en-US"/>
              </w:rPr>
            </w:pPr>
            <w:r w:rsidRPr="007C45A7">
              <w:rPr>
                <w:rFonts w:eastAsia="Times New Roman"/>
                <w:color w:val="000000"/>
                <w:sz w:val="22"/>
                <w:lang w:val="en-US"/>
              </w:rPr>
              <w:t>Return on Total Capital (or Assets)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17.89%</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17.04%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18.38%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14.20%</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12.88%</w:t>
            </w:r>
          </w:p>
        </w:tc>
      </w:tr>
    </w:tbl>
    <w:p w:rsidR="00AB5C06" w:rsidRPr="007C45A7" w:rsidRDefault="00AB5C06" w:rsidP="00431B83">
      <w:pPr>
        <w:spacing w:after="0" w:line="480" w:lineRule="auto"/>
        <w:ind w:left="720"/>
        <w:rPr>
          <w:b/>
        </w:rPr>
      </w:pPr>
    </w:p>
    <w:p w:rsidR="00AB5C06" w:rsidRPr="007C45A7" w:rsidRDefault="00AB5C06" w:rsidP="00431B83">
      <w:pPr>
        <w:spacing w:after="0" w:line="480" w:lineRule="auto"/>
        <w:ind w:left="720"/>
        <w:rPr>
          <w:b/>
        </w:rPr>
      </w:pPr>
      <w:r w:rsidRPr="007C45A7">
        <w:rPr>
          <w:b/>
        </w:rPr>
        <w:t>Microsoft Corp (MSFT)</w:t>
      </w:r>
    </w:p>
    <w:tbl>
      <w:tblPr>
        <w:tblW w:w="9220" w:type="dxa"/>
        <w:tblLook w:val="04A0" w:firstRow="1" w:lastRow="0" w:firstColumn="1" w:lastColumn="0" w:noHBand="0" w:noVBand="1"/>
      </w:tblPr>
      <w:tblGrid>
        <w:gridCol w:w="3460"/>
        <w:gridCol w:w="1280"/>
        <w:gridCol w:w="225"/>
        <w:gridCol w:w="895"/>
        <w:gridCol w:w="1120"/>
        <w:gridCol w:w="1120"/>
        <w:gridCol w:w="1120"/>
      </w:tblGrid>
      <w:tr w:rsidR="00AB5C06" w:rsidRPr="007C45A7" w:rsidTr="004F23D7">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AB5C06"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rPr>
                <w:rFonts w:eastAsia="Times New Roman"/>
                <w:color w:val="000000"/>
                <w:sz w:val="22"/>
                <w:lang w:val="en-US"/>
              </w:rPr>
            </w:pPr>
            <w:r w:rsidRPr="007C45A7">
              <w:rPr>
                <w:rFonts w:eastAsia="Times New Roman"/>
                <w:color w:val="000000"/>
                <w:sz w:val="22"/>
                <w:lang w:val="en-US"/>
              </w:rPr>
              <w:t>Return on Total Capital (or Assets)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15.35%</w:t>
            </w:r>
          </w:p>
        </w:tc>
        <w:tc>
          <w:tcPr>
            <w:tcW w:w="245" w:type="dxa"/>
            <w:tcBorders>
              <w:top w:val="single" w:sz="4" w:space="0" w:color="auto"/>
              <w:left w:val="nil"/>
              <w:bottom w:val="single" w:sz="4" w:space="0" w:color="auto"/>
              <w:right w:val="nil"/>
            </w:tcBorders>
          </w:tcPr>
          <w:p w:rsidR="00AB5C06" w:rsidRPr="007C45A7" w:rsidRDefault="00AB5C06" w:rsidP="00431B83">
            <w:pPr>
              <w:spacing w:after="0" w:line="360" w:lineRule="auto"/>
              <w:jc w:val="center"/>
              <w:rPr>
                <w:rFonts w:eastAsia="Times New Roman"/>
                <w:color w:val="000000"/>
                <w:sz w:val="22"/>
                <w:lang w:val="en-US"/>
              </w:rPr>
            </w:pP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12.81%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6.92%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8.67%</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AB5C06" w:rsidRPr="007C45A7" w:rsidRDefault="00AB5C06" w:rsidP="00431B83">
            <w:pPr>
              <w:spacing w:after="0" w:line="360" w:lineRule="auto"/>
              <w:jc w:val="center"/>
              <w:rPr>
                <w:rFonts w:eastAsia="Times New Roman"/>
                <w:color w:val="000000"/>
                <w:sz w:val="22"/>
                <w:lang w:val="en-US"/>
              </w:rPr>
            </w:pPr>
            <w:r w:rsidRPr="007C45A7">
              <w:rPr>
                <w:rFonts w:eastAsia="Times New Roman"/>
                <w:color w:val="000000"/>
                <w:sz w:val="22"/>
                <w:lang w:val="en-US"/>
              </w:rPr>
              <w:t>8.80%</w:t>
            </w:r>
          </w:p>
        </w:tc>
      </w:tr>
    </w:tbl>
    <w:p w:rsidR="00AB5C06" w:rsidRPr="007C45A7" w:rsidRDefault="00AB5C06" w:rsidP="00431B83">
      <w:pPr>
        <w:tabs>
          <w:tab w:val="left" w:pos="3315"/>
        </w:tabs>
        <w:spacing w:after="0" w:line="480" w:lineRule="auto"/>
        <w:rPr>
          <w:b/>
        </w:rPr>
      </w:pPr>
    </w:p>
    <w:p w:rsidR="002A3C49" w:rsidRPr="007C45A7" w:rsidRDefault="002A3C49" w:rsidP="00431B83">
      <w:pPr>
        <w:tabs>
          <w:tab w:val="left" w:pos="3315"/>
        </w:tabs>
        <w:spacing w:after="0" w:line="480" w:lineRule="auto"/>
        <w:jc w:val="center"/>
        <w:rPr>
          <w:b/>
        </w:rPr>
      </w:pPr>
      <w:r w:rsidRPr="007C45A7">
        <w:rPr>
          <w:noProof/>
          <w:lang w:val="en-US"/>
        </w:rPr>
        <w:drawing>
          <wp:inline distT="0" distB="0" distL="0" distR="0" wp14:anchorId="4681018B" wp14:editId="4E5EB1D8">
            <wp:extent cx="3771900" cy="2209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3C49" w:rsidRPr="007C45A7" w:rsidRDefault="00F85618" w:rsidP="00431B83">
      <w:pPr>
        <w:tabs>
          <w:tab w:val="left" w:pos="3315"/>
        </w:tabs>
        <w:spacing w:after="0" w:line="480" w:lineRule="auto"/>
        <w:ind w:firstLine="720"/>
      </w:pPr>
      <w:r w:rsidRPr="007C45A7">
        <w:t>Return on Assets (ROA)</w:t>
      </w:r>
      <w:r w:rsidR="002A3C49" w:rsidRPr="007C45A7">
        <w:t xml:space="preserve"> ratio is the indicator of the firm’s ability to utilize its assets in generating earnings for the company. It shows how efficiently the company has been able to use its assets in generating income</w:t>
      </w:r>
      <w:r w:rsidR="00302EA0">
        <w:t xml:space="preserve"> </w:t>
      </w:r>
      <w:proofErr w:type="spellStart"/>
      <w:r w:rsidR="00302EA0">
        <w:t>Gitman</w:t>
      </w:r>
      <w:proofErr w:type="spellEnd"/>
      <w:r w:rsidR="00302EA0">
        <w:t xml:space="preserve">, </w:t>
      </w:r>
      <w:proofErr w:type="spellStart"/>
      <w:r w:rsidR="00302EA0">
        <w:t>Juchau</w:t>
      </w:r>
      <w:proofErr w:type="spellEnd"/>
      <w:r w:rsidR="00302EA0">
        <w:t>, &amp; Flanagan, 2015)</w:t>
      </w:r>
      <w:r w:rsidR="002A3C49" w:rsidRPr="007C45A7">
        <w:t xml:space="preserve">. The higher the ratio the </w:t>
      </w:r>
      <w:r w:rsidR="002A3C49" w:rsidRPr="007C45A7">
        <w:lastRenderedPageBreak/>
        <w:t xml:space="preserve">better it is for the organization. The graph above provides a comparative </w:t>
      </w:r>
      <w:r w:rsidRPr="007C45A7">
        <w:t>analysis</w:t>
      </w:r>
      <w:r w:rsidR="002A3C49" w:rsidRPr="007C45A7">
        <w:t xml:space="preserve"> of</w:t>
      </w:r>
      <w:r w:rsidRPr="007C45A7">
        <w:t xml:space="preserve"> the ROA of</w:t>
      </w:r>
      <w:r w:rsidR="002A3C49" w:rsidRPr="007C45A7">
        <w:t xml:space="preserve"> both the companies in the technology and software industry. </w:t>
      </w:r>
      <w:r w:rsidRPr="007C45A7">
        <w:t xml:space="preserve">It also indicates the 5 years trend of ROA of both the companies. As shown in the figure Microsoft faced a sharp decline in the ratio in 2015, which gradually increased in the next 2 years. In 2015, particularly, Microsoft faced challenges due to declining sales of its mobile business and a write-down on the Nokia purchase and laying off 7,800 employees. Moreover, Apple Inc. on the other hand, continued to experience increase in its revenues with launch of iPhone </w:t>
      </w:r>
      <w:r w:rsidR="005E0C5E" w:rsidRPr="007C45A7">
        <w:t xml:space="preserve">5s and 6, which increased the company’s ROA to 18.38%. Nonetheless, Apple Inc. ROA has declined over the past 2 years, but it has remained higher than Microsoft. </w:t>
      </w:r>
    </w:p>
    <w:p w:rsidR="00AB5C06" w:rsidRPr="007C45A7" w:rsidRDefault="00AB5C06" w:rsidP="00431B83">
      <w:pPr>
        <w:tabs>
          <w:tab w:val="left" w:pos="3315"/>
        </w:tabs>
        <w:spacing w:after="0" w:line="480" w:lineRule="auto"/>
        <w:rPr>
          <w:b/>
        </w:rPr>
      </w:pPr>
      <w:r w:rsidRPr="007C45A7">
        <w:rPr>
          <w:b/>
        </w:rPr>
        <w:t xml:space="preserve">Return on Equity </w:t>
      </w:r>
    </w:p>
    <w:p w:rsidR="006820B9" w:rsidRPr="007C45A7" w:rsidRDefault="006820B9" w:rsidP="00431B83">
      <w:pPr>
        <w:tabs>
          <w:tab w:val="left" w:pos="3315"/>
        </w:tabs>
        <w:spacing w:after="0" w:line="480" w:lineRule="auto"/>
      </w:pPr>
      <w:r w:rsidRPr="007C45A7">
        <w:t xml:space="preserve">Net Income/ Total Shareholder’s Equity x 100 </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Return on Equity Capital</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29.98%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35.42%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44.74%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35.62%</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36.07%</w:t>
            </w:r>
          </w:p>
        </w:tc>
      </w:tr>
    </w:tbl>
    <w:p w:rsidR="002A3C49" w:rsidRPr="007C45A7" w:rsidRDefault="002A3C49" w:rsidP="00431B83">
      <w:pPr>
        <w:spacing w:after="0" w:line="480" w:lineRule="auto"/>
        <w:ind w:left="720"/>
        <w:rPr>
          <w:b/>
        </w:rPr>
      </w:pPr>
    </w:p>
    <w:p w:rsidR="00AB5C06" w:rsidRPr="007C45A7" w:rsidRDefault="00AB5C06"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Return on Equity Capital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right"/>
              <w:rPr>
                <w:rFonts w:eastAsia="Times New Roman"/>
                <w:color w:val="000000"/>
                <w:sz w:val="22"/>
                <w:lang w:val="en-US"/>
              </w:rPr>
            </w:pPr>
            <w:r w:rsidRPr="007C45A7">
              <w:rPr>
                <w:rFonts w:eastAsia="Times New Roman"/>
                <w:color w:val="000000"/>
                <w:sz w:val="22"/>
                <w:lang w:val="en-US"/>
              </w:rPr>
              <w:t>27.69%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right"/>
              <w:rPr>
                <w:rFonts w:eastAsia="Times New Roman"/>
                <w:color w:val="000000"/>
                <w:sz w:val="22"/>
                <w:lang w:val="en-US"/>
              </w:rPr>
            </w:pPr>
            <w:r w:rsidRPr="007C45A7">
              <w:rPr>
                <w:rFonts w:eastAsia="Times New Roman"/>
                <w:color w:val="000000"/>
                <w:sz w:val="22"/>
                <w:lang w:val="en-US"/>
              </w:rPr>
              <w:t>24.59%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right"/>
              <w:rPr>
                <w:rFonts w:eastAsia="Times New Roman"/>
                <w:color w:val="000000"/>
                <w:sz w:val="22"/>
                <w:lang w:val="en-US"/>
              </w:rPr>
            </w:pPr>
            <w:r w:rsidRPr="007C45A7">
              <w:rPr>
                <w:rFonts w:eastAsia="Times New Roman"/>
                <w:color w:val="000000"/>
                <w:sz w:val="22"/>
                <w:lang w:val="en-US"/>
              </w:rPr>
              <w:t>15.23%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right"/>
              <w:rPr>
                <w:rFonts w:eastAsia="Times New Roman"/>
                <w:color w:val="000000"/>
                <w:sz w:val="22"/>
                <w:lang w:val="en-US"/>
              </w:rPr>
            </w:pPr>
            <w:r w:rsidRPr="007C45A7">
              <w:rPr>
                <w:rFonts w:eastAsia="Times New Roman"/>
                <w:color w:val="000000"/>
                <w:sz w:val="22"/>
                <w:lang w:val="en-US"/>
              </w:rPr>
              <w:t>23.33%</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29.29%</w:t>
            </w:r>
          </w:p>
        </w:tc>
      </w:tr>
    </w:tbl>
    <w:p w:rsidR="002A3C49" w:rsidRPr="007C45A7" w:rsidRDefault="002A3C49" w:rsidP="00431B83">
      <w:pPr>
        <w:spacing w:after="0" w:line="480" w:lineRule="auto"/>
        <w:ind w:left="720"/>
        <w:rPr>
          <w:b/>
        </w:rPr>
      </w:pPr>
    </w:p>
    <w:p w:rsidR="002A3C49" w:rsidRPr="007C45A7" w:rsidRDefault="002A3C49" w:rsidP="00431B83">
      <w:pPr>
        <w:spacing w:after="0" w:line="480" w:lineRule="auto"/>
        <w:jc w:val="center"/>
        <w:rPr>
          <w:b/>
        </w:rPr>
      </w:pPr>
      <w:r w:rsidRPr="007C45A7">
        <w:rPr>
          <w:noProof/>
          <w:lang w:val="en-US"/>
        </w:rPr>
        <w:lastRenderedPageBreak/>
        <w:drawing>
          <wp:inline distT="0" distB="0" distL="0" distR="0" wp14:anchorId="05BC377A" wp14:editId="0E7531C0">
            <wp:extent cx="4038600" cy="22574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0C5E" w:rsidRPr="007C45A7" w:rsidRDefault="005E0C5E" w:rsidP="00431B83">
      <w:pPr>
        <w:tabs>
          <w:tab w:val="left" w:pos="3315"/>
        </w:tabs>
        <w:spacing w:after="0" w:line="480" w:lineRule="auto"/>
        <w:ind w:firstLine="720"/>
      </w:pPr>
      <w:r w:rsidRPr="007C45A7">
        <w:t>Return on Equit</w:t>
      </w:r>
      <w:r w:rsidR="00926417" w:rsidRPr="007C45A7">
        <w:t>y Capital (ROE) of a company indicates whether they have been able to efficiently use its equity capital in generating returns or not</w:t>
      </w:r>
      <w:r w:rsidR="00302EA0">
        <w:t xml:space="preserve"> (Warren &amp; Jones, 2018)</w:t>
      </w:r>
      <w:r w:rsidR="00926417" w:rsidRPr="007C45A7">
        <w:t xml:space="preserve">. </w:t>
      </w:r>
      <w:r w:rsidR="006820B9" w:rsidRPr="007C45A7">
        <w:t>The ROE of Apple increased in 2015, as the company reported a reported its biggest annual profit in history with net income of $53.4 billion. Therefore, the company’s ROE increased to 44.74%; however, it was not able to sustain the net income in the co</w:t>
      </w:r>
      <w:r w:rsidR="00FF7BFE" w:rsidRPr="007C45A7">
        <w:t xml:space="preserve">ming years. But, the ROE ratio of Apple Inc. has remained higher than Microsoft. The company has been performing well in the industry as compared to its competitor. </w:t>
      </w:r>
    </w:p>
    <w:p w:rsidR="00AB5C06" w:rsidRPr="007C45A7" w:rsidRDefault="00AB5C06" w:rsidP="00431B83">
      <w:pPr>
        <w:tabs>
          <w:tab w:val="left" w:pos="3315"/>
        </w:tabs>
        <w:spacing w:after="0" w:line="480" w:lineRule="auto"/>
        <w:jc w:val="center"/>
        <w:rPr>
          <w:b/>
        </w:rPr>
      </w:pPr>
      <w:r w:rsidRPr="007C45A7">
        <w:rPr>
          <w:b/>
        </w:rPr>
        <w:t>Liquidity Ratio</w:t>
      </w:r>
    </w:p>
    <w:p w:rsidR="00AB5C06" w:rsidRPr="007C45A7" w:rsidRDefault="00AB5C06" w:rsidP="00431B83">
      <w:pPr>
        <w:tabs>
          <w:tab w:val="left" w:pos="3315"/>
        </w:tabs>
        <w:spacing w:after="0" w:line="480" w:lineRule="auto"/>
        <w:rPr>
          <w:b/>
        </w:rPr>
      </w:pPr>
      <w:r w:rsidRPr="007C45A7">
        <w:rPr>
          <w:b/>
        </w:rPr>
        <w:t>Current Ratio</w:t>
      </w:r>
    </w:p>
    <w:p w:rsidR="00FF7BFE" w:rsidRPr="007C45A7" w:rsidRDefault="00C01E55" w:rsidP="00431B83">
      <w:pPr>
        <w:tabs>
          <w:tab w:val="left" w:pos="3315"/>
        </w:tabs>
        <w:spacing w:after="0" w:line="480" w:lineRule="auto"/>
      </w:pPr>
      <w:r w:rsidRPr="007C45A7">
        <w:t xml:space="preserve">Total </w:t>
      </w:r>
      <w:r w:rsidR="00FF7BFE" w:rsidRPr="007C45A7">
        <w:t xml:space="preserve">Current Assets/ </w:t>
      </w:r>
      <w:r w:rsidRPr="007C45A7">
        <w:t xml:space="preserve">Total </w:t>
      </w:r>
      <w:r w:rsidR="00FF7BFE" w:rsidRPr="007C45A7">
        <w:t xml:space="preserve">Current Liabilities </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Current Ratio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1.68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1.08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1.11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1.35</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1.28</w:t>
            </w:r>
          </w:p>
        </w:tc>
      </w:tr>
    </w:tbl>
    <w:p w:rsidR="002A3C49" w:rsidRPr="007C45A7" w:rsidRDefault="002A3C49" w:rsidP="00431B83">
      <w:pPr>
        <w:spacing w:after="0" w:line="480" w:lineRule="auto"/>
        <w:ind w:left="720"/>
        <w:rPr>
          <w:b/>
        </w:rPr>
      </w:pPr>
    </w:p>
    <w:p w:rsidR="00AB5C06" w:rsidRPr="007C45A7" w:rsidRDefault="00AB5C06"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Current Ratio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2.71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2.35</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2.48</w:t>
            </w:r>
          </w:p>
        </w:tc>
      </w:tr>
    </w:tbl>
    <w:p w:rsidR="00AB5C06" w:rsidRPr="007C45A7" w:rsidRDefault="00AB5C06" w:rsidP="00431B83">
      <w:pPr>
        <w:tabs>
          <w:tab w:val="left" w:pos="3315"/>
        </w:tabs>
        <w:spacing w:after="0" w:line="480" w:lineRule="auto"/>
        <w:rPr>
          <w:b/>
        </w:rPr>
      </w:pPr>
    </w:p>
    <w:p w:rsidR="002A3C49" w:rsidRPr="007C45A7" w:rsidRDefault="002A3C49" w:rsidP="00431B83">
      <w:pPr>
        <w:tabs>
          <w:tab w:val="left" w:pos="3315"/>
        </w:tabs>
        <w:spacing w:after="0" w:line="480" w:lineRule="auto"/>
        <w:jc w:val="center"/>
        <w:rPr>
          <w:b/>
        </w:rPr>
      </w:pPr>
      <w:r w:rsidRPr="007C45A7">
        <w:rPr>
          <w:noProof/>
          <w:lang w:val="en-US"/>
        </w:rPr>
        <w:lastRenderedPageBreak/>
        <w:drawing>
          <wp:inline distT="0" distB="0" distL="0" distR="0" wp14:anchorId="48F4C3C4" wp14:editId="38A8B487">
            <wp:extent cx="3390900" cy="1828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7BFE" w:rsidRPr="007C45A7" w:rsidRDefault="00FF7BFE" w:rsidP="00431B83">
      <w:pPr>
        <w:tabs>
          <w:tab w:val="left" w:pos="3315"/>
        </w:tabs>
        <w:spacing w:after="0" w:line="480" w:lineRule="auto"/>
        <w:ind w:firstLine="720"/>
      </w:pPr>
      <w:r w:rsidRPr="007C45A7">
        <w:t>Current ratio is a ratio used to evaluate the liquidity position of the company. It shows the amount of current assets available to pay off company’s short-term liabilities. A ratio greater than 1 is considered as a good ratio</w:t>
      </w:r>
      <w:r w:rsidR="00302EA0">
        <w:t xml:space="preserve"> (Warren &amp; Jones, 2018)</w:t>
      </w:r>
      <w:r w:rsidRPr="007C45A7">
        <w:t xml:space="preserve">. The current ratio of both the companies has remained greater than 1; however, as it can be seen from the graph above the liquidity position of Microsoft has been relatively better than Apple Inc. In 2017, Microsoft reported a current ratio of 2.48 which indicates that for each of its current liabilities it has 2.48 current assets. </w:t>
      </w:r>
      <w:r w:rsidR="00C01E55" w:rsidRPr="007C45A7">
        <w:t xml:space="preserve">In comparison, Apple Inc. had a 1.28 current ratio in 2017 which declined from 1.35 in 2016. However, a better indicator of liquidity position of a company is quick ratio. Both the liquidity ratios of the company should be analysed together to get a clear picture. </w:t>
      </w:r>
    </w:p>
    <w:p w:rsidR="00AB5C06" w:rsidRPr="007C45A7" w:rsidRDefault="00AB5C06" w:rsidP="00431B83">
      <w:pPr>
        <w:tabs>
          <w:tab w:val="left" w:pos="3315"/>
        </w:tabs>
        <w:spacing w:after="0" w:line="480" w:lineRule="auto"/>
        <w:rPr>
          <w:b/>
        </w:rPr>
      </w:pPr>
      <w:r w:rsidRPr="007C45A7">
        <w:rPr>
          <w:b/>
        </w:rPr>
        <w:t>Quick Ratio</w:t>
      </w:r>
    </w:p>
    <w:p w:rsidR="00C01E55" w:rsidRPr="007C45A7" w:rsidRDefault="00C01E55" w:rsidP="00431B83">
      <w:pPr>
        <w:tabs>
          <w:tab w:val="left" w:pos="3315"/>
        </w:tabs>
        <w:spacing w:after="0" w:line="480" w:lineRule="auto"/>
      </w:pPr>
      <w:r w:rsidRPr="007C45A7">
        <w:t>(Total Current Assets – Inventories)/ Total Current Liabilities</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Quick Ratio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1.64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1.05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1.08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1.33</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1.23</w:t>
            </w:r>
          </w:p>
        </w:tc>
      </w:tr>
    </w:tbl>
    <w:p w:rsidR="00302EA0" w:rsidRDefault="00302EA0" w:rsidP="00431B83">
      <w:pPr>
        <w:spacing w:after="0" w:line="480" w:lineRule="auto"/>
        <w:ind w:left="720"/>
        <w:rPr>
          <w:b/>
        </w:rPr>
      </w:pPr>
    </w:p>
    <w:p w:rsidR="00AB5C06" w:rsidRPr="007C45A7" w:rsidRDefault="00AB5C06"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Quick Ratio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2.66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2.45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2.44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2.31</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2.44</w:t>
            </w:r>
          </w:p>
        </w:tc>
      </w:tr>
    </w:tbl>
    <w:p w:rsidR="00AB5C06" w:rsidRPr="007C45A7" w:rsidRDefault="00AB5C06" w:rsidP="00431B83">
      <w:pPr>
        <w:tabs>
          <w:tab w:val="left" w:pos="3315"/>
        </w:tabs>
        <w:spacing w:after="0" w:line="480" w:lineRule="auto"/>
        <w:rPr>
          <w:b/>
        </w:rPr>
      </w:pPr>
    </w:p>
    <w:p w:rsidR="002A3C49" w:rsidRPr="007C45A7" w:rsidRDefault="002A3C49" w:rsidP="00431B83">
      <w:pPr>
        <w:spacing w:after="0" w:line="480" w:lineRule="auto"/>
        <w:jc w:val="center"/>
        <w:rPr>
          <w:b/>
        </w:rPr>
      </w:pPr>
      <w:r w:rsidRPr="007C45A7">
        <w:rPr>
          <w:b/>
        </w:rPr>
        <w:br w:type="page"/>
      </w:r>
      <w:r w:rsidRPr="007C45A7">
        <w:rPr>
          <w:noProof/>
          <w:lang w:val="en-US"/>
        </w:rPr>
        <w:lastRenderedPageBreak/>
        <w:drawing>
          <wp:inline distT="0" distB="0" distL="0" distR="0" wp14:anchorId="0BD461BE" wp14:editId="0D024242">
            <wp:extent cx="3362325" cy="16764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1E55" w:rsidRPr="007C45A7" w:rsidRDefault="00DF7DB4" w:rsidP="00431B83">
      <w:pPr>
        <w:spacing w:after="0" w:line="480" w:lineRule="auto"/>
        <w:ind w:firstLine="720"/>
      </w:pPr>
      <w:r w:rsidRPr="007C45A7">
        <w:t>The Quick Ratio of the company does not include the least liquid asset i.e. inventories. It is a better indicator of liquidity position of the company as inventories are not included in its calculation</w:t>
      </w:r>
      <w:r w:rsidR="00302EA0">
        <w:t xml:space="preserve"> (</w:t>
      </w:r>
      <w:proofErr w:type="spellStart"/>
      <w:r w:rsidR="00302EA0">
        <w:t>Wahlen</w:t>
      </w:r>
      <w:proofErr w:type="spellEnd"/>
      <w:r w:rsidR="00302EA0">
        <w:t xml:space="preserve">, </w:t>
      </w:r>
      <w:proofErr w:type="spellStart"/>
      <w:r w:rsidR="00302EA0">
        <w:t>Baginski</w:t>
      </w:r>
      <w:proofErr w:type="spellEnd"/>
      <w:r w:rsidR="00302EA0">
        <w:t xml:space="preserve"> &amp; Bradshaw, 2014)</w:t>
      </w:r>
      <w:r w:rsidRPr="007C45A7">
        <w:t xml:space="preserve">. The gap between liquid ratio and quick ratio should not be high as it would show that company’s amount is stuck in its inventories. Both the companies have a good quick ratio that is greater than 1 with a minimum difference in their current and quick ratio. This indicates that the stock of inventory is not piled up. </w:t>
      </w:r>
    </w:p>
    <w:p w:rsidR="00AB5C06" w:rsidRPr="007C45A7" w:rsidRDefault="00AB5C06" w:rsidP="00431B83">
      <w:pPr>
        <w:tabs>
          <w:tab w:val="left" w:pos="3315"/>
        </w:tabs>
        <w:spacing w:after="0" w:line="480" w:lineRule="auto"/>
        <w:jc w:val="center"/>
        <w:rPr>
          <w:b/>
        </w:rPr>
      </w:pPr>
      <w:r w:rsidRPr="007C45A7">
        <w:rPr>
          <w:b/>
        </w:rPr>
        <w:t>Asset Management Ratio</w:t>
      </w:r>
    </w:p>
    <w:p w:rsidR="00AB5C06" w:rsidRPr="007C45A7" w:rsidRDefault="00AB5C06" w:rsidP="00431B83">
      <w:pPr>
        <w:tabs>
          <w:tab w:val="left" w:pos="3315"/>
        </w:tabs>
        <w:spacing w:after="0" w:line="480" w:lineRule="auto"/>
        <w:rPr>
          <w:b/>
        </w:rPr>
      </w:pPr>
      <w:r w:rsidRPr="007C45A7">
        <w:rPr>
          <w:b/>
        </w:rPr>
        <w:t>Debtors Turnover</w:t>
      </w:r>
    </w:p>
    <w:p w:rsidR="004F23D7" w:rsidRPr="00302EA0" w:rsidRDefault="004F23D7" w:rsidP="00431B83">
      <w:pPr>
        <w:tabs>
          <w:tab w:val="left" w:pos="3315"/>
        </w:tabs>
        <w:spacing w:after="0" w:line="480" w:lineRule="auto"/>
      </w:pPr>
      <w:r w:rsidRPr="00302EA0">
        <w:t>Revenues/ ((Opening Accounts Receivables + Closing Accounts Receivables)/2)</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4F23D7" w:rsidP="00431B83">
            <w:pPr>
              <w:spacing w:after="0" w:line="360" w:lineRule="auto"/>
              <w:rPr>
                <w:rFonts w:eastAsia="Times New Roman"/>
                <w:color w:val="000000"/>
                <w:sz w:val="22"/>
                <w:lang w:val="en-US"/>
              </w:rPr>
            </w:pPr>
            <w:r w:rsidRPr="007C45A7">
              <w:rPr>
                <w:rFonts w:eastAsia="Times New Roman"/>
                <w:color w:val="000000"/>
                <w:sz w:val="22"/>
                <w:lang w:val="en-US"/>
              </w:rPr>
              <w:t>Debtors Turnover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14.22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11.96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13.62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13.23</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13.63</w:t>
            </w:r>
          </w:p>
        </w:tc>
      </w:tr>
    </w:tbl>
    <w:p w:rsidR="00EA5E10" w:rsidRDefault="00EA5E10" w:rsidP="00EA5E10">
      <w:pPr>
        <w:spacing w:after="0" w:line="480" w:lineRule="auto"/>
        <w:rPr>
          <w:b/>
        </w:rPr>
      </w:pPr>
    </w:p>
    <w:p w:rsidR="00EA5E10" w:rsidRPr="00EA5E10" w:rsidRDefault="00EA5E10" w:rsidP="00EA5E10">
      <w:pPr>
        <w:spacing w:after="0" w:line="480" w:lineRule="auto"/>
      </w:pPr>
      <w:r>
        <w:t>Opening Debtors of Apple Inc. in 2013: $10,930 million</w:t>
      </w:r>
    </w:p>
    <w:p w:rsidR="00AB5C06" w:rsidRPr="007C45A7" w:rsidRDefault="00AB5C06"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00"/>
        </w:trPr>
        <w:tc>
          <w:tcPr>
            <w:tcW w:w="3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Debtors Turnover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4.69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5.00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4.72</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4.73</w:t>
            </w:r>
          </w:p>
        </w:tc>
      </w:tr>
    </w:tbl>
    <w:p w:rsidR="00AB5C06" w:rsidRDefault="00AB5C06" w:rsidP="00431B83">
      <w:pPr>
        <w:tabs>
          <w:tab w:val="left" w:pos="3315"/>
        </w:tabs>
        <w:spacing w:after="0" w:line="480" w:lineRule="auto"/>
        <w:rPr>
          <w:b/>
        </w:rPr>
      </w:pPr>
    </w:p>
    <w:p w:rsidR="00EA5E10" w:rsidRPr="00302EA0" w:rsidRDefault="00EA5E10" w:rsidP="00431B83">
      <w:pPr>
        <w:tabs>
          <w:tab w:val="left" w:pos="3315"/>
        </w:tabs>
        <w:spacing w:after="0" w:line="480" w:lineRule="auto"/>
      </w:pPr>
      <w:r w:rsidRPr="00302EA0">
        <w:t>Opening Debtors of Micro</w:t>
      </w:r>
      <w:r w:rsidR="00302EA0" w:rsidRPr="00302EA0">
        <w:t xml:space="preserve">soft in 2013: </w:t>
      </w:r>
      <w:r w:rsidR="00302EA0">
        <w:t>$15,780 million</w:t>
      </w:r>
    </w:p>
    <w:p w:rsidR="002A3C49" w:rsidRPr="007C45A7" w:rsidRDefault="002A3C49" w:rsidP="00431B83">
      <w:pPr>
        <w:tabs>
          <w:tab w:val="left" w:pos="3315"/>
        </w:tabs>
        <w:spacing w:after="0" w:line="480" w:lineRule="auto"/>
        <w:jc w:val="center"/>
        <w:rPr>
          <w:b/>
        </w:rPr>
      </w:pPr>
      <w:r w:rsidRPr="007C45A7">
        <w:rPr>
          <w:noProof/>
          <w:lang w:val="en-US"/>
        </w:rPr>
        <w:lastRenderedPageBreak/>
        <w:drawing>
          <wp:inline distT="0" distB="0" distL="0" distR="0" wp14:anchorId="7D442008" wp14:editId="0FC6580F">
            <wp:extent cx="3724275" cy="22383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23D7" w:rsidRPr="007C45A7" w:rsidRDefault="004F23D7" w:rsidP="00431B83">
      <w:pPr>
        <w:tabs>
          <w:tab w:val="left" w:pos="3315"/>
        </w:tabs>
        <w:spacing w:after="0" w:line="480" w:lineRule="auto"/>
        <w:ind w:firstLine="720"/>
      </w:pPr>
      <w:r w:rsidRPr="007C45A7">
        <w:t>Debtor turnover ratio is used to determine the number of times a business collects its accounts receivables every year. It can be also used to calculate the number of days it takes to collect the receivables</w:t>
      </w:r>
      <w:r w:rsidR="00302EA0">
        <w:t xml:space="preserve"> (Titman, </w:t>
      </w:r>
      <w:proofErr w:type="spellStart"/>
      <w:r w:rsidR="00302EA0">
        <w:t>Keown</w:t>
      </w:r>
      <w:proofErr w:type="spellEnd"/>
      <w:r w:rsidR="00302EA0">
        <w:t xml:space="preserve"> &amp; Martin, 2017)</w:t>
      </w:r>
      <w:r w:rsidRPr="007C45A7">
        <w:t xml:space="preserve">. A lower turnover indicates that the company does not have a strong credit policy and its creditors are likely to be in financial difficulty. Also, it shows that a significant amount of working capital has been tied up in accounts receivables. Apple Inc. has a high debtor’s turnover as compared to Microsoft, showing that the debtors take less time to pay off the credit. </w:t>
      </w:r>
    </w:p>
    <w:p w:rsidR="00AB5C06" w:rsidRPr="007C45A7" w:rsidRDefault="00AB5C06" w:rsidP="00431B83">
      <w:pPr>
        <w:tabs>
          <w:tab w:val="left" w:pos="3315"/>
        </w:tabs>
        <w:spacing w:after="0" w:line="480" w:lineRule="auto"/>
        <w:rPr>
          <w:b/>
        </w:rPr>
      </w:pPr>
      <w:r w:rsidRPr="007C45A7">
        <w:rPr>
          <w:b/>
        </w:rPr>
        <w:t>Creditors Turnover</w:t>
      </w:r>
    </w:p>
    <w:p w:rsidR="002A3C49" w:rsidRPr="007C45A7" w:rsidRDefault="007C45A7" w:rsidP="00431B83">
      <w:pPr>
        <w:tabs>
          <w:tab w:val="left" w:pos="3315"/>
        </w:tabs>
        <w:spacing w:after="0" w:line="480" w:lineRule="auto"/>
      </w:pPr>
      <w:r w:rsidRPr="007C45A7">
        <w:t>Revenue/ ((Opening Accounts Payable + Closing Accounts Payable)/ 2)</w:t>
      </w:r>
    </w:p>
    <w:p w:rsidR="00AB5C06" w:rsidRPr="007C45A7" w:rsidRDefault="00AB5C06" w:rsidP="00431B83">
      <w:pPr>
        <w:spacing w:after="0" w:line="480" w:lineRule="auto"/>
        <w:ind w:left="720"/>
        <w:rPr>
          <w:b/>
        </w:rPr>
      </w:pPr>
      <w:r w:rsidRPr="007C45A7">
        <w:rPr>
          <w:b/>
        </w:rPr>
        <w:t>Apple Inc. (APPL)</w:t>
      </w:r>
    </w:p>
    <w:tbl>
      <w:tblPr>
        <w:tblW w:w="9220" w:type="dxa"/>
        <w:tblLook w:val="04A0" w:firstRow="1" w:lastRow="0" w:firstColumn="1" w:lastColumn="0" w:noHBand="0" w:noVBand="1"/>
      </w:tblPr>
      <w:tblGrid>
        <w:gridCol w:w="3460"/>
        <w:gridCol w:w="1280"/>
        <w:gridCol w:w="1120"/>
        <w:gridCol w:w="1120"/>
        <w:gridCol w:w="1120"/>
        <w:gridCol w:w="1120"/>
      </w:tblGrid>
      <w:tr w:rsidR="002A3C49" w:rsidRPr="007C45A7" w:rsidTr="002A3C49">
        <w:trPr>
          <w:trHeight w:val="315"/>
        </w:trPr>
        <w:tc>
          <w:tcPr>
            <w:tcW w:w="3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1120" w:type="dxa"/>
            <w:tcBorders>
              <w:top w:val="single" w:sz="4" w:space="0" w:color="auto"/>
              <w:left w:val="nil"/>
              <w:bottom w:val="single" w:sz="8"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15"/>
        </w:trPr>
        <w:tc>
          <w:tcPr>
            <w:tcW w:w="3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Creditors Turnover</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4.90</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4.27</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4.27</w:t>
            </w:r>
          </w:p>
        </w:tc>
        <w:tc>
          <w:tcPr>
            <w:tcW w:w="112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3.61</w:t>
            </w:r>
          </w:p>
        </w:tc>
        <w:tc>
          <w:tcPr>
            <w:tcW w:w="1120" w:type="dxa"/>
            <w:tcBorders>
              <w:top w:val="single" w:sz="4" w:space="0" w:color="auto"/>
              <w:left w:val="nil"/>
              <w:bottom w:val="single" w:sz="8"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3.27</w:t>
            </w:r>
          </w:p>
        </w:tc>
      </w:tr>
    </w:tbl>
    <w:p w:rsidR="002A3C49" w:rsidRDefault="002A3C49" w:rsidP="00302EA0">
      <w:pPr>
        <w:spacing w:after="0" w:line="480" w:lineRule="auto"/>
        <w:rPr>
          <w:b/>
        </w:rPr>
      </w:pPr>
    </w:p>
    <w:p w:rsidR="00302EA0" w:rsidRPr="00302EA0" w:rsidRDefault="00302EA0" w:rsidP="00302EA0">
      <w:pPr>
        <w:spacing w:after="0" w:line="480" w:lineRule="auto"/>
      </w:pPr>
      <w:r w:rsidRPr="00302EA0">
        <w:t xml:space="preserve">Opening Creditors of Apple Inc. in 2013: </w:t>
      </w:r>
      <w:r>
        <w:t>$21,175 million</w:t>
      </w:r>
    </w:p>
    <w:p w:rsidR="00AB5C06" w:rsidRPr="007C45A7" w:rsidRDefault="00AB5C06" w:rsidP="00431B83">
      <w:pPr>
        <w:spacing w:after="0" w:line="480" w:lineRule="auto"/>
        <w:ind w:left="720"/>
        <w:rPr>
          <w:b/>
        </w:rPr>
      </w:pPr>
      <w:r w:rsidRPr="007C45A7">
        <w:rPr>
          <w:b/>
        </w:rPr>
        <w:t>Microsoft Corp (MSFT)</w:t>
      </w:r>
    </w:p>
    <w:tbl>
      <w:tblPr>
        <w:tblW w:w="8260" w:type="dxa"/>
        <w:tblLook w:val="04A0" w:firstRow="1" w:lastRow="0" w:firstColumn="1" w:lastColumn="0" w:noHBand="0" w:noVBand="1"/>
      </w:tblPr>
      <w:tblGrid>
        <w:gridCol w:w="3460"/>
        <w:gridCol w:w="960"/>
        <w:gridCol w:w="960"/>
        <w:gridCol w:w="960"/>
        <w:gridCol w:w="960"/>
        <w:gridCol w:w="960"/>
      </w:tblGrid>
      <w:tr w:rsidR="002A3C49" w:rsidRPr="007C45A7" w:rsidTr="002A3C49">
        <w:trPr>
          <w:trHeight w:val="315"/>
        </w:trPr>
        <w:tc>
          <w:tcPr>
            <w:tcW w:w="3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2013</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2014</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2015</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2016</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b/>
                <w:color w:val="000000"/>
                <w:sz w:val="22"/>
                <w:lang w:val="en-US"/>
              </w:rPr>
            </w:pPr>
            <w:r w:rsidRPr="007C45A7">
              <w:rPr>
                <w:rFonts w:eastAsia="Times New Roman"/>
                <w:b/>
                <w:color w:val="000000"/>
                <w:sz w:val="22"/>
                <w:lang w:val="en-US"/>
              </w:rPr>
              <w:t>2017</w:t>
            </w:r>
          </w:p>
        </w:tc>
      </w:tr>
      <w:tr w:rsidR="002A3C49" w:rsidRPr="007C45A7" w:rsidTr="002A3C49">
        <w:trPr>
          <w:trHeight w:val="315"/>
        </w:trPr>
        <w:tc>
          <w:tcPr>
            <w:tcW w:w="3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rPr>
                <w:rFonts w:eastAsia="Times New Roman"/>
                <w:color w:val="000000"/>
                <w:sz w:val="22"/>
                <w:lang w:val="en-US"/>
              </w:rPr>
            </w:pPr>
            <w:r w:rsidRPr="007C45A7">
              <w:rPr>
                <w:rFonts w:eastAsia="Times New Roman"/>
                <w:color w:val="000000"/>
                <w:sz w:val="22"/>
                <w:lang w:val="en-US"/>
              </w:rPr>
              <w:t>Creditors Turnover</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4.50</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4.39</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4.71</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4.86</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2A3C49" w:rsidRPr="007C45A7" w:rsidRDefault="002A3C49" w:rsidP="00431B83">
            <w:pPr>
              <w:spacing w:after="0" w:line="360" w:lineRule="auto"/>
              <w:jc w:val="center"/>
              <w:rPr>
                <w:rFonts w:eastAsia="Times New Roman"/>
                <w:color w:val="000000"/>
                <w:sz w:val="22"/>
                <w:lang w:val="en-US"/>
              </w:rPr>
            </w:pPr>
            <w:r w:rsidRPr="007C45A7">
              <w:rPr>
                <w:rFonts w:eastAsia="Times New Roman"/>
                <w:color w:val="000000"/>
                <w:sz w:val="22"/>
                <w:lang w:val="en-US"/>
              </w:rPr>
              <w:t>4.80</w:t>
            </w:r>
          </w:p>
        </w:tc>
      </w:tr>
    </w:tbl>
    <w:p w:rsidR="002A3C49" w:rsidRDefault="002A3C49" w:rsidP="00302EA0">
      <w:pPr>
        <w:spacing w:after="0" w:line="480" w:lineRule="auto"/>
        <w:rPr>
          <w:b/>
        </w:rPr>
      </w:pPr>
    </w:p>
    <w:p w:rsidR="00302EA0" w:rsidRPr="00302EA0" w:rsidRDefault="00302EA0" w:rsidP="00302EA0">
      <w:pPr>
        <w:spacing w:after="0" w:line="480" w:lineRule="auto"/>
      </w:pPr>
      <w:r w:rsidRPr="00302EA0">
        <w:lastRenderedPageBreak/>
        <w:t>Opening Creditors of Microsoft in 2013: $4,175 million</w:t>
      </w:r>
    </w:p>
    <w:p w:rsidR="007C45A7" w:rsidRDefault="002A3C49" w:rsidP="00431B83">
      <w:pPr>
        <w:tabs>
          <w:tab w:val="left" w:pos="3315"/>
        </w:tabs>
        <w:spacing w:after="0" w:line="480" w:lineRule="auto"/>
        <w:jc w:val="center"/>
      </w:pPr>
      <w:r w:rsidRPr="007C45A7">
        <w:rPr>
          <w:noProof/>
          <w:lang w:val="en-US"/>
        </w:rPr>
        <w:drawing>
          <wp:inline distT="0" distB="0" distL="0" distR="0" wp14:anchorId="39B269C7" wp14:editId="2BED28EE">
            <wp:extent cx="4057650" cy="23050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5C06" w:rsidRPr="007C45A7" w:rsidRDefault="007C45A7" w:rsidP="00431B83">
      <w:pPr>
        <w:tabs>
          <w:tab w:val="left" w:pos="3315"/>
        </w:tabs>
        <w:spacing w:after="0" w:line="480" w:lineRule="auto"/>
        <w:ind w:firstLine="720"/>
      </w:pPr>
      <w:r>
        <w:t>Creditor’s turnover ratio shows the number of times the company pays to its creditors. It can also be used to calculate the number of days the company takes to pay its creditors</w:t>
      </w:r>
      <w:r w:rsidR="00302EA0">
        <w:t xml:space="preserve"> (Titman, </w:t>
      </w:r>
      <w:proofErr w:type="spellStart"/>
      <w:r w:rsidR="00302EA0">
        <w:t>Keown</w:t>
      </w:r>
      <w:proofErr w:type="spellEnd"/>
      <w:r w:rsidR="00302EA0">
        <w:t xml:space="preserve"> &amp; Martin, 2017)</w:t>
      </w:r>
      <w:r>
        <w:t xml:space="preserve">. In order to convert it into days the formula can be used: 365/ Creditors’ turnover ratio. For instance, in 2017 with a 4.80 debtor’s turnover ratio Microsoft took on average 76.1 days to pay off its creditors. On the other hand, Apple took 111 days. The decline in the ratio for Apple Inc. is not a good indicator as it takes longer than its competitor to pay its creditors. While the ratio for Microsoft has an increasing trend and it has also remained higher than Apple Inc. </w:t>
      </w:r>
      <w:r w:rsidR="00AB5C06" w:rsidRPr="007C45A7">
        <w:rPr>
          <w:b/>
        </w:rPr>
        <w:br w:type="page"/>
      </w:r>
    </w:p>
    <w:p w:rsidR="006C00EF" w:rsidRDefault="006C00EF" w:rsidP="00431B83">
      <w:pPr>
        <w:spacing w:after="0" w:line="480" w:lineRule="auto"/>
        <w:jc w:val="center"/>
        <w:rPr>
          <w:b/>
        </w:rPr>
      </w:pPr>
      <w:r w:rsidRPr="007C45A7">
        <w:rPr>
          <w:b/>
        </w:rPr>
        <w:lastRenderedPageBreak/>
        <w:t xml:space="preserve">References </w:t>
      </w:r>
    </w:p>
    <w:p w:rsidR="00302EA0" w:rsidRPr="007C45A7" w:rsidRDefault="00302EA0" w:rsidP="00431B83">
      <w:pPr>
        <w:spacing w:after="0" w:line="480" w:lineRule="auto"/>
        <w:jc w:val="center"/>
        <w:rPr>
          <w:b/>
        </w:rPr>
      </w:pPr>
    </w:p>
    <w:p w:rsidR="00302EA0" w:rsidRDefault="00302EA0" w:rsidP="00302EA0">
      <w:pPr>
        <w:spacing w:after="0" w:line="480" w:lineRule="auto"/>
        <w:ind w:left="720" w:hanging="720"/>
      </w:pPr>
      <w:proofErr w:type="spellStart"/>
      <w:r w:rsidRPr="00302EA0">
        <w:t>Gitman</w:t>
      </w:r>
      <w:proofErr w:type="spellEnd"/>
      <w:r w:rsidRPr="00302EA0">
        <w:t xml:space="preserve">, L. J., </w:t>
      </w:r>
      <w:proofErr w:type="spellStart"/>
      <w:r w:rsidRPr="00302EA0">
        <w:t>Juchau</w:t>
      </w:r>
      <w:proofErr w:type="spellEnd"/>
      <w:r w:rsidRPr="00302EA0">
        <w:t>, R., &amp; Flanagan, J. (2015). </w:t>
      </w:r>
      <w:r w:rsidRPr="00302EA0">
        <w:rPr>
          <w:i/>
          <w:iCs/>
        </w:rPr>
        <w:t>Principles of managerial finance</w:t>
      </w:r>
      <w:r w:rsidRPr="00302EA0">
        <w:t>. Pearson Higher Education AU.</w:t>
      </w:r>
    </w:p>
    <w:p w:rsidR="00302EA0" w:rsidRDefault="00302EA0" w:rsidP="00302EA0">
      <w:pPr>
        <w:spacing w:after="0" w:line="480" w:lineRule="auto"/>
        <w:ind w:left="720" w:hanging="720"/>
      </w:pPr>
      <w:r w:rsidRPr="00302EA0">
        <w:t xml:space="preserve">Titman, S., </w:t>
      </w:r>
      <w:proofErr w:type="spellStart"/>
      <w:r w:rsidRPr="00302EA0">
        <w:t>Keown</w:t>
      </w:r>
      <w:proofErr w:type="spellEnd"/>
      <w:r w:rsidRPr="00302EA0">
        <w:t>, A. J., &amp; Martin, J. D. (2017). </w:t>
      </w:r>
      <w:r w:rsidRPr="00302EA0">
        <w:rPr>
          <w:i/>
          <w:iCs/>
        </w:rPr>
        <w:t>Financial management: Principles and applications</w:t>
      </w:r>
      <w:r w:rsidRPr="00302EA0">
        <w:t>. Pearson.</w:t>
      </w:r>
    </w:p>
    <w:p w:rsidR="00302EA0" w:rsidRDefault="00302EA0" w:rsidP="00302EA0">
      <w:pPr>
        <w:spacing w:after="0" w:line="480" w:lineRule="auto"/>
        <w:ind w:left="720" w:hanging="720"/>
      </w:pPr>
      <w:proofErr w:type="spellStart"/>
      <w:r w:rsidRPr="00302EA0">
        <w:t>Wahlen</w:t>
      </w:r>
      <w:proofErr w:type="spellEnd"/>
      <w:r w:rsidRPr="00302EA0">
        <w:t xml:space="preserve">, J., </w:t>
      </w:r>
      <w:proofErr w:type="spellStart"/>
      <w:r w:rsidRPr="00302EA0">
        <w:t>Baginski</w:t>
      </w:r>
      <w:proofErr w:type="spellEnd"/>
      <w:r w:rsidRPr="00302EA0">
        <w:t>, S., &amp; Bradshaw, M. (2014). </w:t>
      </w:r>
      <w:r w:rsidRPr="00302EA0">
        <w:rPr>
          <w:i/>
          <w:iCs/>
        </w:rPr>
        <w:t>Financial reporting, financial statement analysis and valuation</w:t>
      </w:r>
      <w:r w:rsidRPr="00302EA0">
        <w:t>. Nelson Education.</w:t>
      </w:r>
    </w:p>
    <w:p w:rsidR="00302EA0" w:rsidRDefault="00302EA0" w:rsidP="00302EA0">
      <w:pPr>
        <w:spacing w:after="0" w:line="480" w:lineRule="auto"/>
        <w:ind w:left="720" w:hanging="720"/>
      </w:pPr>
      <w:r w:rsidRPr="00302EA0">
        <w:t>Warren, C. S., &amp; Jones, J. (2018). </w:t>
      </w:r>
      <w:r w:rsidRPr="00302EA0">
        <w:rPr>
          <w:i/>
          <w:iCs/>
        </w:rPr>
        <w:t>Corporate financial accounting</w:t>
      </w:r>
      <w:r w:rsidRPr="00302EA0">
        <w:t xml:space="preserve">. </w:t>
      </w:r>
      <w:proofErr w:type="spellStart"/>
      <w:r w:rsidRPr="00302EA0">
        <w:t>Cengage</w:t>
      </w:r>
      <w:proofErr w:type="spellEnd"/>
      <w:r w:rsidRPr="00302EA0">
        <w:t xml:space="preserve"> Learning.</w:t>
      </w:r>
    </w:p>
    <w:sectPr w:rsidR="00302EA0" w:rsidSect="001F585A">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470" w:rsidRDefault="00012470" w:rsidP="001F585A">
      <w:pPr>
        <w:spacing w:after="0" w:line="240" w:lineRule="auto"/>
      </w:pPr>
      <w:r>
        <w:separator/>
      </w:r>
    </w:p>
  </w:endnote>
  <w:endnote w:type="continuationSeparator" w:id="0">
    <w:p w:rsidR="00012470" w:rsidRDefault="00012470" w:rsidP="001F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470" w:rsidRDefault="00012470" w:rsidP="001F585A">
      <w:pPr>
        <w:spacing w:after="0" w:line="240" w:lineRule="auto"/>
      </w:pPr>
      <w:r>
        <w:separator/>
      </w:r>
    </w:p>
  </w:footnote>
  <w:footnote w:type="continuationSeparator" w:id="0">
    <w:p w:rsidR="00012470" w:rsidRDefault="00012470" w:rsidP="001F5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3D7" w:rsidRDefault="004F23D7">
    <w:pPr>
      <w:pStyle w:val="Header"/>
    </w:pPr>
    <w:r>
      <w:t xml:space="preserve">RATIO ANALYSIS </w:t>
    </w:r>
    <w:r>
      <w:tab/>
    </w:r>
    <w:r>
      <w:tab/>
    </w:r>
    <w:sdt>
      <w:sdtPr>
        <w:id w:val="21259594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40140">
          <w:rPr>
            <w:noProof/>
          </w:rPr>
          <w:t>13</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3D7" w:rsidRDefault="004F23D7">
    <w:pPr>
      <w:pStyle w:val="Header"/>
    </w:pPr>
    <w:r>
      <w:t>Running Head: RATIO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EC"/>
    <w:rsid w:val="00012470"/>
    <w:rsid w:val="000C1F92"/>
    <w:rsid w:val="000D0CCC"/>
    <w:rsid w:val="0012483F"/>
    <w:rsid w:val="00140140"/>
    <w:rsid w:val="00192041"/>
    <w:rsid w:val="001B0C18"/>
    <w:rsid w:val="001F585A"/>
    <w:rsid w:val="00211F51"/>
    <w:rsid w:val="002506EB"/>
    <w:rsid w:val="00265DA3"/>
    <w:rsid w:val="00271644"/>
    <w:rsid w:val="002963D8"/>
    <w:rsid w:val="002A3C49"/>
    <w:rsid w:val="00302EA0"/>
    <w:rsid w:val="00421DD5"/>
    <w:rsid w:val="00431B83"/>
    <w:rsid w:val="00444177"/>
    <w:rsid w:val="004F23D7"/>
    <w:rsid w:val="00555806"/>
    <w:rsid w:val="00571CE5"/>
    <w:rsid w:val="00574D6A"/>
    <w:rsid w:val="005E0C5E"/>
    <w:rsid w:val="00660BD5"/>
    <w:rsid w:val="006820B9"/>
    <w:rsid w:val="006C00EF"/>
    <w:rsid w:val="006D25EF"/>
    <w:rsid w:val="007C45A7"/>
    <w:rsid w:val="008710EC"/>
    <w:rsid w:val="008D6C9D"/>
    <w:rsid w:val="00926417"/>
    <w:rsid w:val="00934C2C"/>
    <w:rsid w:val="00A72130"/>
    <w:rsid w:val="00AB5C06"/>
    <w:rsid w:val="00AD1C4A"/>
    <w:rsid w:val="00B20661"/>
    <w:rsid w:val="00C01E55"/>
    <w:rsid w:val="00C16EEA"/>
    <w:rsid w:val="00DF7DB4"/>
    <w:rsid w:val="00EA5E10"/>
    <w:rsid w:val="00F85618"/>
    <w:rsid w:val="00FB1FFB"/>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CD3D5-C9E2-471D-8B62-508486EE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5A"/>
    <w:rPr>
      <w:lang w:val="en-GB"/>
    </w:rPr>
  </w:style>
  <w:style w:type="paragraph" w:styleId="Footer">
    <w:name w:val="footer"/>
    <w:basedOn w:val="Normal"/>
    <w:link w:val="FooterChar"/>
    <w:uiPriority w:val="99"/>
    <w:unhideWhenUsed/>
    <w:rsid w:val="001F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5A"/>
    <w:rPr>
      <w:lang w:val="en-GB"/>
    </w:rPr>
  </w:style>
  <w:style w:type="table" w:styleId="TableGrid">
    <w:name w:val="Table Grid"/>
    <w:basedOn w:val="TableNormal"/>
    <w:uiPriority w:val="39"/>
    <w:rsid w:val="000C1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0CCC"/>
    <w:rPr>
      <w:color w:val="0563C1" w:themeColor="hyperlink"/>
      <w:u w:val="single"/>
    </w:rPr>
  </w:style>
  <w:style w:type="paragraph" w:styleId="ListParagraph">
    <w:name w:val="List Paragraph"/>
    <w:basedOn w:val="Normal"/>
    <w:uiPriority w:val="34"/>
    <w:qFormat/>
    <w:rsid w:val="002A3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8933">
      <w:bodyDiv w:val="1"/>
      <w:marLeft w:val="0"/>
      <w:marRight w:val="0"/>
      <w:marTop w:val="0"/>
      <w:marBottom w:val="0"/>
      <w:divBdr>
        <w:top w:val="none" w:sz="0" w:space="0" w:color="auto"/>
        <w:left w:val="none" w:sz="0" w:space="0" w:color="auto"/>
        <w:bottom w:val="none" w:sz="0" w:space="0" w:color="auto"/>
        <w:right w:val="none" w:sz="0" w:space="0" w:color="auto"/>
      </w:divBdr>
    </w:div>
    <w:div w:id="167521905">
      <w:bodyDiv w:val="1"/>
      <w:marLeft w:val="0"/>
      <w:marRight w:val="0"/>
      <w:marTop w:val="0"/>
      <w:marBottom w:val="0"/>
      <w:divBdr>
        <w:top w:val="none" w:sz="0" w:space="0" w:color="auto"/>
        <w:left w:val="none" w:sz="0" w:space="0" w:color="auto"/>
        <w:bottom w:val="none" w:sz="0" w:space="0" w:color="auto"/>
        <w:right w:val="none" w:sz="0" w:space="0" w:color="auto"/>
      </w:divBdr>
    </w:div>
    <w:div w:id="200095695">
      <w:bodyDiv w:val="1"/>
      <w:marLeft w:val="0"/>
      <w:marRight w:val="0"/>
      <w:marTop w:val="0"/>
      <w:marBottom w:val="0"/>
      <w:divBdr>
        <w:top w:val="none" w:sz="0" w:space="0" w:color="auto"/>
        <w:left w:val="none" w:sz="0" w:space="0" w:color="auto"/>
        <w:bottom w:val="none" w:sz="0" w:space="0" w:color="auto"/>
        <w:right w:val="none" w:sz="0" w:space="0" w:color="auto"/>
      </w:divBdr>
    </w:div>
    <w:div w:id="217520495">
      <w:bodyDiv w:val="1"/>
      <w:marLeft w:val="0"/>
      <w:marRight w:val="0"/>
      <w:marTop w:val="0"/>
      <w:marBottom w:val="0"/>
      <w:divBdr>
        <w:top w:val="none" w:sz="0" w:space="0" w:color="auto"/>
        <w:left w:val="none" w:sz="0" w:space="0" w:color="auto"/>
        <w:bottom w:val="none" w:sz="0" w:space="0" w:color="auto"/>
        <w:right w:val="none" w:sz="0" w:space="0" w:color="auto"/>
      </w:divBdr>
    </w:div>
    <w:div w:id="226502554">
      <w:bodyDiv w:val="1"/>
      <w:marLeft w:val="0"/>
      <w:marRight w:val="0"/>
      <w:marTop w:val="0"/>
      <w:marBottom w:val="0"/>
      <w:divBdr>
        <w:top w:val="none" w:sz="0" w:space="0" w:color="auto"/>
        <w:left w:val="none" w:sz="0" w:space="0" w:color="auto"/>
        <w:bottom w:val="none" w:sz="0" w:space="0" w:color="auto"/>
        <w:right w:val="none" w:sz="0" w:space="0" w:color="auto"/>
      </w:divBdr>
    </w:div>
    <w:div w:id="239217879">
      <w:bodyDiv w:val="1"/>
      <w:marLeft w:val="0"/>
      <w:marRight w:val="0"/>
      <w:marTop w:val="0"/>
      <w:marBottom w:val="0"/>
      <w:divBdr>
        <w:top w:val="none" w:sz="0" w:space="0" w:color="auto"/>
        <w:left w:val="none" w:sz="0" w:space="0" w:color="auto"/>
        <w:bottom w:val="none" w:sz="0" w:space="0" w:color="auto"/>
        <w:right w:val="none" w:sz="0" w:space="0" w:color="auto"/>
      </w:divBdr>
    </w:div>
    <w:div w:id="241185785">
      <w:bodyDiv w:val="1"/>
      <w:marLeft w:val="0"/>
      <w:marRight w:val="0"/>
      <w:marTop w:val="0"/>
      <w:marBottom w:val="0"/>
      <w:divBdr>
        <w:top w:val="none" w:sz="0" w:space="0" w:color="auto"/>
        <w:left w:val="none" w:sz="0" w:space="0" w:color="auto"/>
        <w:bottom w:val="none" w:sz="0" w:space="0" w:color="auto"/>
        <w:right w:val="none" w:sz="0" w:space="0" w:color="auto"/>
      </w:divBdr>
    </w:div>
    <w:div w:id="255285389">
      <w:bodyDiv w:val="1"/>
      <w:marLeft w:val="0"/>
      <w:marRight w:val="0"/>
      <w:marTop w:val="0"/>
      <w:marBottom w:val="0"/>
      <w:divBdr>
        <w:top w:val="none" w:sz="0" w:space="0" w:color="auto"/>
        <w:left w:val="none" w:sz="0" w:space="0" w:color="auto"/>
        <w:bottom w:val="none" w:sz="0" w:space="0" w:color="auto"/>
        <w:right w:val="none" w:sz="0" w:space="0" w:color="auto"/>
      </w:divBdr>
    </w:div>
    <w:div w:id="338654754">
      <w:bodyDiv w:val="1"/>
      <w:marLeft w:val="0"/>
      <w:marRight w:val="0"/>
      <w:marTop w:val="0"/>
      <w:marBottom w:val="0"/>
      <w:divBdr>
        <w:top w:val="none" w:sz="0" w:space="0" w:color="auto"/>
        <w:left w:val="none" w:sz="0" w:space="0" w:color="auto"/>
        <w:bottom w:val="none" w:sz="0" w:space="0" w:color="auto"/>
        <w:right w:val="none" w:sz="0" w:space="0" w:color="auto"/>
      </w:divBdr>
    </w:div>
    <w:div w:id="338965518">
      <w:bodyDiv w:val="1"/>
      <w:marLeft w:val="0"/>
      <w:marRight w:val="0"/>
      <w:marTop w:val="0"/>
      <w:marBottom w:val="0"/>
      <w:divBdr>
        <w:top w:val="none" w:sz="0" w:space="0" w:color="auto"/>
        <w:left w:val="none" w:sz="0" w:space="0" w:color="auto"/>
        <w:bottom w:val="none" w:sz="0" w:space="0" w:color="auto"/>
        <w:right w:val="none" w:sz="0" w:space="0" w:color="auto"/>
      </w:divBdr>
    </w:div>
    <w:div w:id="477067963">
      <w:bodyDiv w:val="1"/>
      <w:marLeft w:val="0"/>
      <w:marRight w:val="0"/>
      <w:marTop w:val="0"/>
      <w:marBottom w:val="0"/>
      <w:divBdr>
        <w:top w:val="none" w:sz="0" w:space="0" w:color="auto"/>
        <w:left w:val="none" w:sz="0" w:space="0" w:color="auto"/>
        <w:bottom w:val="none" w:sz="0" w:space="0" w:color="auto"/>
        <w:right w:val="none" w:sz="0" w:space="0" w:color="auto"/>
      </w:divBdr>
    </w:div>
    <w:div w:id="573318552">
      <w:bodyDiv w:val="1"/>
      <w:marLeft w:val="0"/>
      <w:marRight w:val="0"/>
      <w:marTop w:val="0"/>
      <w:marBottom w:val="0"/>
      <w:divBdr>
        <w:top w:val="none" w:sz="0" w:space="0" w:color="auto"/>
        <w:left w:val="none" w:sz="0" w:space="0" w:color="auto"/>
        <w:bottom w:val="none" w:sz="0" w:space="0" w:color="auto"/>
        <w:right w:val="none" w:sz="0" w:space="0" w:color="auto"/>
      </w:divBdr>
    </w:div>
    <w:div w:id="638537830">
      <w:bodyDiv w:val="1"/>
      <w:marLeft w:val="0"/>
      <w:marRight w:val="0"/>
      <w:marTop w:val="0"/>
      <w:marBottom w:val="0"/>
      <w:divBdr>
        <w:top w:val="none" w:sz="0" w:space="0" w:color="auto"/>
        <w:left w:val="none" w:sz="0" w:space="0" w:color="auto"/>
        <w:bottom w:val="none" w:sz="0" w:space="0" w:color="auto"/>
        <w:right w:val="none" w:sz="0" w:space="0" w:color="auto"/>
      </w:divBdr>
    </w:div>
    <w:div w:id="645354716">
      <w:bodyDiv w:val="1"/>
      <w:marLeft w:val="0"/>
      <w:marRight w:val="0"/>
      <w:marTop w:val="0"/>
      <w:marBottom w:val="0"/>
      <w:divBdr>
        <w:top w:val="none" w:sz="0" w:space="0" w:color="auto"/>
        <w:left w:val="none" w:sz="0" w:space="0" w:color="auto"/>
        <w:bottom w:val="none" w:sz="0" w:space="0" w:color="auto"/>
        <w:right w:val="none" w:sz="0" w:space="0" w:color="auto"/>
      </w:divBdr>
    </w:div>
    <w:div w:id="657999196">
      <w:bodyDiv w:val="1"/>
      <w:marLeft w:val="0"/>
      <w:marRight w:val="0"/>
      <w:marTop w:val="0"/>
      <w:marBottom w:val="0"/>
      <w:divBdr>
        <w:top w:val="none" w:sz="0" w:space="0" w:color="auto"/>
        <w:left w:val="none" w:sz="0" w:space="0" w:color="auto"/>
        <w:bottom w:val="none" w:sz="0" w:space="0" w:color="auto"/>
        <w:right w:val="none" w:sz="0" w:space="0" w:color="auto"/>
      </w:divBdr>
    </w:div>
    <w:div w:id="665942848">
      <w:bodyDiv w:val="1"/>
      <w:marLeft w:val="0"/>
      <w:marRight w:val="0"/>
      <w:marTop w:val="0"/>
      <w:marBottom w:val="0"/>
      <w:divBdr>
        <w:top w:val="none" w:sz="0" w:space="0" w:color="auto"/>
        <w:left w:val="none" w:sz="0" w:space="0" w:color="auto"/>
        <w:bottom w:val="none" w:sz="0" w:space="0" w:color="auto"/>
        <w:right w:val="none" w:sz="0" w:space="0" w:color="auto"/>
      </w:divBdr>
    </w:div>
    <w:div w:id="752701971">
      <w:bodyDiv w:val="1"/>
      <w:marLeft w:val="0"/>
      <w:marRight w:val="0"/>
      <w:marTop w:val="0"/>
      <w:marBottom w:val="0"/>
      <w:divBdr>
        <w:top w:val="none" w:sz="0" w:space="0" w:color="auto"/>
        <w:left w:val="none" w:sz="0" w:space="0" w:color="auto"/>
        <w:bottom w:val="none" w:sz="0" w:space="0" w:color="auto"/>
        <w:right w:val="none" w:sz="0" w:space="0" w:color="auto"/>
      </w:divBdr>
    </w:div>
    <w:div w:id="814639222">
      <w:bodyDiv w:val="1"/>
      <w:marLeft w:val="0"/>
      <w:marRight w:val="0"/>
      <w:marTop w:val="0"/>
      <w:marBottom w:val="0"/>
      <w:divBdr>
        <w:top w:val="none" w:sz="0" w:space="0" w:color="auto"/>
        <w:left w:val="none" w:sz="0" w:space="0" w:color="auto"/>
        <w:bottom w:val="none" w:sz="0" w:space="0" w:color="auto"/>
        <w:right w:val="none" w:sz="0" w:space="0" w:color="auto"/>
      </w:divBdr>
    </w:div>
    <w:div w:id="827785365">
      <w:bodyDiv w:val="1"/>
      <w:marLeft w:val="0"/>
      <w:marRight w:val="0"/>
      <w:marTop w:val="0"/>
      <w:marBottom w:val="0"/>
      <w:divBdr>
        <w:top w:val="none" w:sz="0" w:space="0" w:color="auto"/>
        <w:left w:val="none" w:sz="0" w:space="0" w:color="auto"/>
        <w:bottom w:val="none" w:sz="0" w:space="0" w:color="auto"/>
        <w:right w:val="none" w:sz="0" w:space="0" w:color="auto"/>
      </w:divBdr>
    </w:div>
    <w:div w:id="931015524">
      <w:bodyDiv w:val="1"/>
      <w:marLeft w:val="0"/>
      <w:marRight w:val="0"/>
      <w:marTop w:val="0"/>
      <w:marBottom w:val="0"/>
      <w:divBdr>
        <w:top w:val="none" w:sz="0" w:space="0" w:color="auto"/>
        <w:left w:val="none" w:sz="0" w:space="0" w:color="auto"/>
        <w:bottom w:val="none" w:sz="0" w:space="0" w:color="auto"/>
        <w:right w:val="none" w:sz="0" w:space="0" w:color="auto"/>
      </w:divBdr>
    </w:div>
    <w:div w:id="1007635319">
      <w:bodyDiv w:val="1"/>
      <w:marLeft w:val="0"/>
      <w:marRight w:val="0"/>
      <w:marTop w:val="0"/>
      <w:marBottom w:val="0"/>
      <w:divBdr>
        <w:top w:val="none" w:sz="0" w:space="0" w:color="auto"/>
        <w:left w:val="none" w:sz="0" w:space="0" w:color="auto"/>
        <w:bottom w:val="none" w:sz="0" w:space="0" w:color="auto"/>
        <w:right w:val="none" w:sz="0" w:space="0" w:color="auto"/>
      </w:divBdr>
    </w:div>
    <w:div w:id="1030766340">
      <w:bodyDiv w:val="1"/>
      <w:marLeft w:val="0"/>
      <w:marRight w:val="0"/>
      <w:marTop w:val="0"/>
      <w:marBottom w:val="0"/>
      <w:divBdr>
        <w:top w:val="none" w:sz="0" w:space="0" w:color="auto"/>
        <w:left w:val="none" w:sz="0" w:space="0" w:color="auto"/>
        <w:bottom w:val="none" w:sz="0" w:space="0" w:color="auto"/>
        <w:right w:val="none" w:sz="0" w:space="0" w:color="auto"/>
      </w:divBdr>
    </w:div>
    <w:div w:id="1190096701">
      <w:bodyDiv w:val="1"/>
      <w:marLeft w:val="0"/>
      <w:marRight w:val="0"/>
      <w:marTop w:val="0"/>
      <w:marBottom w:val="0"/>
      <w:divBdr>
        <w:top w:val="none" w:sz="0" w:space="0" w:color="auto"/>
        <w:left w:val="none" w:sz="0" w:space="0" w:color="auto"/>
        <w:bottom w:val="none" w:sz="0" w:space="0" w:color="auto"/>
        <w:right w:val="none" w:sz="0" w:space="0" w:color="auto"/>
      </w:divBdr>
    </w:div>
    <w:div w:id="1209217653">
      <w:bodyDiv w:val="1"/>
      <w:marLeft w:val="0"/>
      <w:marRight w:val="0"/>
      <w:marTop w:val="0"/>
      <w:marBottom w:val="0"/>
      <w:divBdr>
        <w:top w:val="none" w:sz="0" w:space="0" w:color="auto"/>
        <w:left w:val="none" w:sz="0" w:space="0" w:color="auto"/>
        <w:bottom w:val="none" w:sz="0" w:space="0" w:color="auto"/>
        <w:right w:val="none" w:sz="0" w:space="0" w:color="auto"/>
      </w:divBdr>
    </w:div>
    <w:div w:id="1331833395">
      <w:bodyDiv w:val="1"/>
      <w:marLeft w:val="0"/>
      <w:marRight w:val="0"/>
      <w:marTop w:val="0"/>
      <w:marBottom w:val="0"/>
      <w:divBdr>
        <w:top w:val="none" w:sz="0" w:space="0" w:color="auto"/>
        <w:left w:val="none" w:sz="0" w:space="0" w:color="auto"/>
        <w:bottom w:val="none" w:sz="0" w:space="0" w:color="auto"/>
        <w:right w:val="none" w:sz="0" w:space="0" w:color="auto"/>
      </w:divBdr>
    </w:div>
    <w:div w:id="1337884073">
      <w:bodyDiv w:val="1"/>
      <w:marLeft w:val="0"/>
      <w:marRight w:val="0"/>
      <w:marTop w:val="0"/>
      <w:marBottom w:val="0"/>
      <w:divBdr>
        <w:top w:val="none" w:sz="0" w:space="0" w:color="auto"/>
        <w:left w:val="none" w:sz="0" w:space="0" w:color="auto"/>
        <w:bottom w:val="none" w:sz="0" w:space="0" w:color="auto"/>
        <w:right w:val="none" w:sz="0" w:space="0" w:color="auto"/>
      </w:divBdr>
    </w:div>
    <w:div w:id="1406993510">
      <w:bodyDiv w:val="1"/>
      <w:marLeft w:val="0"/>
      <w:marRight w:val="0"/>
      <w:marTop w:val="0"/>
      <w:marBottom w:val="0"/>
      <w:divBdr>
        <w:top w:val="none" w:sz="0" w:space="0" w:color="auto"/>
        <w:left w:val="none" w:sz="0" w:space="0" w:color="auto"/>
        <w:bottom w:val="none" w:sz="0" w:space="0" w:color="auto"/>
        <w:right w:val="none" w:sz="0" w:space="0" w:color="auto"/>
      </w:divBdr>
    </w:div>
    <w:div w:id="1417285688">
      <w:bodyDiv w:val="1"/>
      <w:marLeft w:val="0"/>
      <w:marRight w:val="0"/>
      <w:marTop w:val="0"/>
      <w:marBottom w:val="0"/>
      <w:divBdr>
        <w:top w:val="none" w:sz="0" w:space="0" w:color="auto"/>
        <w:left w:val="none" w:sz="0" w:space="0" w:color="auto"/>
        <w:bottom w:val="none" w:sz="0" w:space="0" w:color="auto"/>
        <w:right w:val="none" w:sz="0" w:space="0" w:color="auto"/>
      </w:divBdr>
    </w:div>
    <w:div w:id="1467704645">
      <w:bodyDiv w:val="1"/>
      <w:marLeft w:val="0"/>
      <w:marRight w:val="0"/>
      <w:marTop w:val="0"/>
      <w:marBottom w:val="0"/>
      <w:divBdr>
        <w:top w:val="none" w:sz="0" w:space="0" w:color="auto"/>
        <w:left w:val="none" w:sz="0" w:space="0" w:color="auto"/>
        <w:bottom w:val="none" w:sz="0" w:space="0" w:color="auto"/>
        <w:right w:val="none" w:sz="0" w:space="0" w:color="auto"/>
      </w:divBdr>
    </w:div>
    <w:div w:id="1491015973">
      <w:bodyDiv w:val="1"/>
      <w:marLeft w:val="0"/>
      <w:marRight w:val="0"/>
      <w:marTop w:val="0"/>
      <w:marBottom w:val="0"/>
      <w:divBdr>
        <w:top w:val="none" w:sz="0" w:space="0" w:color="auto"/>
        <w:left w:val="none" w:sz="0" w:space="0" w:color="auto"/>
        <w:bottom w:val="none" w:sz="0" w:space="0" w:color="auto"/>
        <w:right w:val="none" w:sz="0" w:space="0" w:color="auto"/>
      </w:divBdr>
    </w:div>
    <w:div w:id="1496192317">
      <w:bodyDiv w:val="1"/>
      <w:marLeft w:val="0"/>
      <w:marRight w:val="0"/>
      <w:marTop w:val="0"/>
      <w:marBottom w:val="0"/>
      <w:divBdr>
        <w:top w:val="none" w:sz="0" w:space="0" w:color="auto"/>
        <w:left w:val="none" w:sz="0" w:space="0" w:color="auto"/>
        <w:bottom w:val="none" w:sz="0" w:space="0" w:color="auto"/>
        <w:right w:val="none" w:sz="0" w:space="0" w:color="auto"/>
      </w:divBdr>
    </w:div>
    <w:div w:id="1529827633">
      <w:bodyDiv w:val="1"/>
      <w:marLeft w:val="0"/>
      <w:marRight w:val="0"/>
      <w:marTop w:val="0"/>
      <w:marBottom w:val="0"/>
      <w:divBdr>
        <w:top w:val="none" w:sz="0" w:space="0" w:color="auto"/>
        <w:left w:val="none" w:sz="0" w:space="0" w:color="auto"/>
        <w:bottom w:val="none" w:sz="0" w:space="0" w:color="auto"/>
        <w:right w:val="none" w:sz="0" w:space="0" w:color="auto"/>
      </w:divBdr>
    </w:div>
    <w:div w:id="1607810746">
      <w:bodyDiv w:val="1"/>
      <w:marLeft w:val="0"/>
      <w:marRight w:val="0"/>
      <w:marTop w:val="0"/>
      <w:marBottom w:val="0"/>
      <w:divBdr>
        <w:top w:val="none" w:sz="0" w:space="0" w:color="auto"/>
        <w:left w:val="none" w:sz="0" w:space="0" w:color="auto"/>
        <w:bottom w:val="none" w:sz="0" w:space="0" w:color="auto"/>
        <w:right w:val="none" w:sz="0" w:space="0" w:color="auto"/>
      </w:divBdr>
    </w:div>
    <w:div w:id="1613320112">
      <w:bodyDiv w:val="1"/>
      <w:marLeft w:val="0"/>
      <w:marRight w:val="0"/>
      <w:marTop w:val="0"/>
      <w:marBottom w:val="0"/>
      <w:divBdr>
        <w:top w:val="none" w:sz="0" w:space="0" w:color="auto"/>
        <w:left w:val="none" w:sz="0" w:space="0" w:color="auto"/>
        <w:bottom w:val="none" w:sz="0" w:space="0" w:color="auto"/>
        <w:right w:val="none" w:sz="0" w:space="0" w:color="auto"/>
      </w:divBdr>
    </w:div>
    <w:div w:id="1656565570">
      <w:bodyDiv w:val="1"/>
      <w:marLeft w:val="0"/>
      <w:marRight w:val="0"/>
      <w:marTop w:val="0"/>
      <w:marBottom w:val="0"/>
      <w:divBdr>
        <w:top w:val="none" w:sz="0" w:space="0" w:color="auto"/>
        <w:left w:val="none" w:sz="0" w:space="0" w:color="auto"/>
        <w:bottom w:val="none" w:sz="0" w:space="0" w:color="auto"/>
        <w:right w:val="none" w:sz="0" w:space="0" w:color="auto"/>
      </w:divBdr>
    </w:div>
    <w:div w:id="1701978027">
      <w:bodyDiv w:val="1"/>
      <w:marLeft w:val="0"/>
      <w:marRight w:val="0"/>
      <w:marTop w:val="0"/>
      <w:marBottom w:val="0"/>
      <w:divBdr>
        <w:top w:val="none" w:sz="0" w:space="0" w:color="auto"/>
        <w:left w:val="none" w:sz="0" w:space="0" w:color="auto"/>
        <w:bottom w:val="none" w:sz="0" w:space="0" w:color="auto"/>
        <w:right w:val="none" w:sz="0" w:space="0" w:color="auto"/>
      </w:divBdr>
    </w:div>
    <w:div w:id="1864051635">
      <w:bodyDiv w:val="1"/>
      <w:marLeft w:val="0"/>
      <w:marRight w:val="0"/>
      <w:marTop w:val="0"/>
      <w:marBottom w:val="0"/>
      <w:divBdr>
        <w:top w:val="none" w:sz="0" w:space="0" w:color="auto"/>
        <w:left w:val="none" w:sz="0" w:space="0" w:color="auto"/>
        <w:bottom w:val="none" w:sz="0" w:space="0" w:color="auto"/>
        <w:right w:val="none" w:sz="0" w:space="0" w:color="auto"/>
      </w:divBdr>
    </w:div>
    <w:div w:id="1873955622">
      <w:bodyDiv w:val="1"/>
      <w:marLeft w:val="0"/>
      <w:marRight w:val="0"/>
      <w:marTop w:val="0"/>
      <w:marBottom w:val="0"/>
      <w:divBdr>
        <w:top w:val="none" w:sz="0" w:space="0" w:color="auto"/>
        <w:left w:val="none" w:sz="0" w:space="0" w:color="auto"/>
        <w:bottom w:val="none" w:sz="0" w:space="0" w:color="auto"/>
        <w:right w:val="none" w:sz="0" w:space="0" w:color="auto"/>
      </w:divBdr>
    </w:div>
    <w:div w:id="1894151810">
      <w:bodyDiv w:val="1"/>
      <w:marLeft w:val="0"/>
      <w:marRight w:val="0"/>
      <w:marTop w:val="0"/>
      <w:marBottom w:val="0"/>
      <w:divBdr>
        <w:top w:val="none" w:sz="0" w:space="0" w:color="auto"/>
        <w:left w:val="none" w:sz="0" w:space="0" w:color="auto"/>
        <w:bottom w:val="none" w:sz="0" w:space="0" w:color="auto"/>
        <w:right w:val="none" w:sz="0" w:space="0" w:color="auto"/>
      </w:divBdr>
    </w:div>
    <w:div w:id="1910768580">
      <w:bodyDiv w:val="1"/>
      <w:marLeft w:val="0"/>
      <w:marRight w:val="0"/>
      <w:marTop w:val="0"/>
      <w:marBottom w:val="0"/>
      <w:divBdr>
        <w:top w:val="none" w:sz="0" w:space="0" w:color="auto"/>
        <w:left w:val="none" w:sz="0" w:space="0" w:color="auto"/>
        <w:bottom w:val="none" w:sz="0" w:space="0" w:color="auto"/>
        <w:right w:val="none" w:sz="0" w:space="0" w:color="auto"/>
      </w:divBdr>
    </w:div>
    <w:div w:id="1936280893">
      <w:bodyDiv w:val="1"/>
      <w:marLeft w:val="0"/>
      <w:marRight w:val="0"/>
      <w:marTop w:val="0"/>
      <w:marBottom w:val="0"/>
      <w:divBdr>
        <w:top w:val="none" w:sz="0" w:space="0" w:color="auto"/>
        <w:left w:val="none" w:sz="0" w:space="0" w:color="auto"/>
        <w:bottom w:val="none" w:sz="0" w:space="0" w:color="auto"/>
        <w:right w:val="none" w:sz="0" w:space="0" w:color="auto"/>
      </w:divBdr>
    </w:div>
    <w:div w:id="20427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MSFT%20Income%20Statement.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MSFT%20Income%20Statement.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MSFT%20Income%20Statement.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MSFT%20Income%20Statement.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US"/>
              <a:t>Gross Profit Margin</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 </c:v>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Analysis'!$I$3:$M$3</c:f>
              <c:numCache>
                <c:formatCode>0.00%</c:formatCode>
                <c:ptCount val="5"/>
                <c:pt idx="0">
                  <c:v>0.7398938971598864</c:v>
                </c:pt>
                <c:pt idx="1">
                  <c:v>0.68981838701876019</c:v>
                </c:pt>
                <c:pt idx="2">
                  <c:v>0.64695447745244705</c:v>
                </c:pt>
                <c:pt idx="3">
                  <c:v>0.61579934364744493</c:v>
                </c:pt>
                <c:pt idx="4">
                  <c:v>0.61911061700944969</c:v>
                </c:pt>
              </c:numCache>
            </c:numRef>
          </c:val>
          <c:smooth val="0"/>
        </c:ser>
        <c:ser>
          <c:idx val="1"/>
          <c:order val="1"/>
          <c:tx>
            <c:v>Apple Inc</c:v>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Analysis'!$B$3:$F$3</c:f>
              <c:numCache>
                <c:formatCode>0.00%</c:formatCode>
                <c:ptCount val="5"/>
                <c:pt idx="0">
                  <c:v>0.37624480720847231</c:v>
                </c:pt>
                <c:pt idx="1">
                  <c:v>0.38588035777783858</c:v>
                </c:pt>
                <c:pt idx="2">
                  <c:v>0.40059902017414373</c:v>
                </c:pt>
                <c:pt idx="3">
                  <c:v>0.39075955648097049</c:v>
                </c:pt>
                <c:pt idx="4">
                  <c:v>0.38469860491899105</c:v>
                </c:pt>
              </c:numCache>
            </c:numRef>
          </c:val>
          <c:smooth val="0"/>
        </c:ser>
        <c:dLbls>
          <c:showLegendKey val="0"/>
          <c:showVal val="1"/>
          <c:showCatName val="0"/>
          <c:showSerName val="0"/>
          <c:showPercent val="0"/>
          <c:showBubbleSize val="0"/>
        </c:dLbls>
        <c:smooth val="0"/>
        <c:axId val="2140296768"/>
        <c:axId val="2140291872"/>
      </c:lineChart>
      <c:catAx>
        <c:axId val="21402967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0291872"/>
        <c:crosses val="autoZero"/>
        <c:auto val="1"/>
        <c:lblAlgn val="ctr"/>
        <c:lblOffset val="100"/>
        <c:noMultiLvlLbl val="0"/>
      </c:catAx>
      <c:valAx>
        <c:axId val="2140291872"/>
        <c:scaling>
          <c:orientation val="minMax"/>
        </c:scaling>
        <c:delete val="0"/>
        <c:axPos val="l"/>
        <c:majorGridlines>
          <c:spPr>
            <a:ln>
              <a:solidFill>
                <a:schemeClr val="dk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0296768"/>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Creditors' Turnover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Analysis'!$I$15:$M$15</c:f>
              <c:numCache>
                <c:formatCode>0.00</c:formatCode>
                <c:ptCount val="5"/>
                <c:pt idx="0">
                  <c:v>4.4982783516605576</c:v>
                </c:pt>
                <c:pt idx="1">
                  <c:v>4.3938009787928225</c:v>
                </c:pt>
                <c:pt idx="2">
                  <c:v>4.7119731869072234</c:v>
                </c:pt>
                <c:pt idx="3">
                  <c:v>4.8602565053006153</c:v>
                </c:pt>
                <c:pt idx="4">
                  <c:v>4.7957726763717803</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Analysis'!$B$15:$F$15</c:f>
              <c:numCache>
                <c:formatCode>0.00</c:formatCode>
                <c:ptCount val="5"/>
                <c:pt idx="0">
                  <c:v>4.8966974415506863</c:v>
                </c:pt>
                <c:pt idx="1">
                  <c:v>4.2713695945817403</c:v>
                </c:pt>
                <c:pt idx="2">
                  <c:v>4.265414243522212</c:v>
                </c:pt>
                <c:pt idx="3">
                  <c:v>3.6100241811387117</c:v>
                </c:pt>
                <c:pt idx="4">
                  <c:v>3.2671554150307496</c:v>
                </c:pt>
              </c:numCache>
            </c:numRef>
          </c:val>
          <c:smooth val="0"/>
        </c:ser>
        <c:dLbls>
          <c:showLegendKey val="0"/>
          <c:showVal val="1"/>
          <c:showCatName val="0"/>
          <c:showSerName val="0"/>
          <c:showPercent val="0"/>
          <c:showBubbleSize val="0"/>
        </c:dLbls>
        <c:smooth val="0"/>
        <c:axId val="2136709792"/>
        <c:axId val="2136710880"/>
      </c:lineChart>
      <c:catAx>
        <c:axId val="21367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10880"/>
        <c:crosses val="autoZero"/>
        <c:auto val="1"/>
        <c:lblAlgn val="ctr"/>
        <c:lblOffset val="100"/>
        <c:noMultiLvlLbl val="0"/>
      </c:catAx>
      <c:valAx>
        <c:axId val="2136710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09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Operating Profit Margin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Analysis'!$I$4:$M$4</c:f>
              <c:numCache>
                <c:formatCode>0.00%</c:formatCode>
                <c:ptCount val="5"/>
                <c:pt idx="0">
                  <c:v>0.34379375457616668</c:v>
                </c:pt>
                <c:pt idx="1">
                  <c:v>0.31968260914629232</c:v>
                </c:pt>
                <c:pt idx="2">
                  <c:v>0.19406924556529173</c:v>
                </c:pt>
                <c:pt idx="3">
                  <c:v>0.23654477262072199</c:v>
                </c:pt>
                <c:pt idx="4">
                  <c:v>0.24820455808782657</c:v>
                </c:pt>
              </c:numCache>
            </c:numRef>
          </c:val>
          <c:smooth val="0"/>
        </c:ser>
        <c:ser>
          <c:idx val="1"/>
          <c:order val="1"/>
          <c:tx>
            <c:v>Apple Inc</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Analysis'!$B$4:$F$4</c:f>
              <c:numCache>
                <c:formatCode>0.00%</c:formatCode>
                <c:ptCount val="5"/>
                <c:pt idx="0">
                  <c:v>0.28669475162366159</c:v>
                </c:pt>
                <c:pt idx="1">
                  <c:v>0.28722339232473537</c:v>
                </c:pt>
                <c:pt idx="2">
                  <c:v>0.30477290717326661</c:v>
                </c:pt>
                <c:pt idx="3">
                  <c:v>0.27835410106706115</c:v>
                </c:pt>
                <c:pt idx="4">
                  <c:v>0.26760428208729942</c:v>
                </c:pt>
              </c:numCache>
            </c:numRef>
          </c:val>
          <c:smooth val="0"/>
        </c:ser>
        <c:dLbls>
          <c:showLegendKey val="0"/>
          <c:showVal val="1"/>
          <c:showCatName val="0"/>
          <c:showSerName val="0"/>
          <c:showPercent val="0"/>
          <c:showBubbleSize val="0"/>
        </c:dLbls>
        <c:marker val="1"/>
        <c:smooth val="0"/>
        <c:axId val="2133553248"/>
        <c:axId val="2071174784"/>
      </c:lineChart>
      <c:catAx>
        <c:axId val="213355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1174784"/>
        <c:crosses val="autoZero"/>
        <c:auto val="1"/>
        <c:lblAlgn val="ctr"/>
        <c:lblOffset val="100"/>
        <c:noMultiLvlLbl val="0"/>
      </c:catAx>
      <c:valAx>
        <c:axId val="2071174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553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Net Profit Margin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Analysis'!$I$5:$M$5</c:f>
              <c:numCache>
                <c:formatCode>0.00%</c:formatCode>
                <c:ptCount val="5"/>
                <c:pt idx="0">
                  <c:v>0.28083854641678119</c:v>
                </c:pt>
                <c:pt idx="1">
                  <c:v>0.25421210829983992</c:v>
                </c:pt>
                <c:pt idx="2">
                  <c:v>0.13029493481513144</c:v>
                </c:pt>
                <c:pt idx="3">
                  <c:v>0.19688232536333802</c:v>
                </c:pt>
                <c:pt idx="4">
                  <c:v>0.23573096164535853</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Analysis'!$B$5:$F$5</c:f>
              <c:numCache>
                <c:formatCode>0.00%</c:formatCode>
                <c:ptCount val="5"/>
                <c:pt idx="0">
                  <c:v>0.21670469837926393</c:v>
                </c:pt>
                <c:pt idx="1">
                  <c:v>0.21614376760852322</c:v>
                </c:pt>
                <c:pt idx="2">
                  <c:v>0.22845773698735639</c:v>
                </c:pt>
                <c:pt idx="3">
                  <c:v>0.211867983064288</c:v>
                </c:pt>
                <c:pt idx="4">
                  <c:v>0.21092420845075338</c:v>
                </c:pt>
              </c:numCache>
            </c:numRef>
          </c:val>
          <c:smooth val="0"/>
        </c:ser>
        <c:dLbls>
          <c:showLegendKey val="0"/>
          <c:showVal val="1"/>
          <c:showCatName val="0"/>
          <c:showSerName val="0"/>
          <c:showPercent val="0"/>
          <c:showBubbleSize val="0"/>
        </c:dLbls>
        <c:smooth val="0"/>
        <c:axId val="605450224"/>
        <c:axId val="2140284752"/>
      </c:lineChart>
      <c:catAx>
        <c:axId val="60545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40284752"/>
        <c:crosses val="autoZero"/>
        <c:auto val="1"/>
        <c:lblAlgn val="ctr"/>
        <c:lblOffset val="100"/>
        <c:noMultiLvlLbl val="0"/>
      </c:catAx>
      <c:valAx>
        <c:axId val="2140284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450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Return on Capital Employed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Analysis'!$I$7:$M$7</c:f>
              <c:numCache>
                <c:formatCode>0.00%</c:formatCode>
                <c:ptCount val="5"/>
                <c:pt idx="0">
                  <c:v>0.25486125659435882</c:v>
                </c:pt>
                <c:pt idx="1">
                  <c:v>0.21899036754786641</c:v>
                </c:pt>
                <c:pt idx="2">
                  <c:v>0.14371859296482412</c:v>
                </c:pt>
                <c:pt idx="3">
                  <c:v>0.15023411271652634</c:v>
                </c:pt>
                <c:pt idx="4">
                  <c:v>0.12645064822523916</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Analysis'!$B$7:$F$7</c:f>
              <c:numCache>
                <c:formatCode>0.00%</c:formatCode>
                <c:ptCount val="5"/>
                <c:pt idx="0">
                  <c:v>0.29997796035312413</c:v>
                </c:pt>
                <c:pt idx="1">
                  <c:v>0.31179219792031643</c:v>
                </c:pt>
                <c:pt idx="2">
                  <c:v>0.3394021985143113</c:v>
                </c:pt>
                <c:pt idx="3">
                  <c:v>0.24733805834844239</c:v>
                </c:pt>
                <c:pt idx="4">
                  <c:v>0.22347133931986668</c:v>
                </c:pt>
              </c:numCache>
            </c:numRef>
          </c:val>
          <c:smooth val="0"/>
        </c:ser>
        <c:dLbls>
          <c:showLegendKey val="0"/>
          <c:showVal val="1"/>
          <c:showCatName val="0"/>
          <c:showSerName val="0"/>
          <c:showPercent val="0"/>
          <c:showBubbleSize val="0"/>
        </c:dLbls>
        <c:smooth val="0"/>
        <c:axId val="2133431024"/>
        <c:axId val="2133433200"/>
      </c:lineChart>
      <c:catAx>
        <c:axId val="213343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3200"/>
        <c:crosses val="autoZero"/>
        <c:auto val="1"/>
        <c:lblAlgn val="ctr"/>
        <c:lblOffset val="100"/>
        <c:noMultiLvlLbl val="0"/>
      </c:catAx>
      <c:valAx>
        <c:axId val="2133433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1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Return on Total Capital (or Assets)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Analysis'!$I$8:$M$8</c:f>
              <c:numCache>
                <c:formatCode>0.00%</c:formatCode>
                <c:ptCount val="5"/>
                <c:pt idx="0">
                  <c:v>0.15349888718045931</c:v>
                </c:pt>
                <c:pt idx="1">
                  <c:v>0.12805132726935214</c:v>
                </c:pt>
                <c:pt idx="2">
                  <c:v>6.9190741276677847E-2</c:v>
                </c:pt>
                <c:pt idx="3">
                  <c:v>8.67244209939389E-2</c:v>
                </c:pt>
                <c:pt idx="4">
                  <c:v>8.7952017122520598E-2</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Analysis'!$B$8:$F$8</c:f>
              <c:numCache>
                <c:formatCode>0.00%</c:formatCode>
                <c:ptCount val="5"/>
                <c:pt idx="0">
                  <c:v>0.17892270531400967</c:v>
                </c:pt>
                <c:pt idx="1">
                  <c:v>0.17041998973425523</c:v>
                </c:pt>
                <c:pt idx="2">
                  <c:v>0.18381363196651049</c:v>
                </c:pt>
                <c:pt idx="3">
                  <c:v>0.14202358821956815</c:v>
                </c:pt>
                <c:pt idx="4">
                  <c:v>0.12882641166580963</c:v>
                </c:pt>
              </c:numCache>
            </c:numRef>
          </c:val>
          <c:smooth val="0"/>
        </c:ser>
        <c:dLbls>
          <c:showLegendKey val="0"/>
          <c:showVal val="1"/>
          <c:showCatName val="0"/>
          <c:showSerName val="0"/>
          <c:showPercent val="0"/>
          <c:showBubbleSize val="0"/>
        </c:dLbls>
        <c:smooth val="0"/>
        <c:axId val="2133433744"/>
        <c:axId val="2133434832"/>
      </c:lineChart>
      <c:catAx>
        <c:axId val="213343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4832"/>
        <c:crosses val="autoZero"/>
        <c:auto val="1"/>
        <c:lblAlgn val="ctr"/>
        <c:lblOffset val="100"/>
        <c:noMultiLvlLbl val="0"/>
      </c:catAx>
      <c:valAx>
        <c:axId val="2133434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3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Return on Equity Capital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Analysis'!$I$9:$M$9</c:f>
              <c:numCache>
                <c:formatCode>0.00%</c:formatCode>
                <c:ptCount val="5"/>
                <c:pt idx="0">
                  <c:v>0.27694314957438182</c:v>
                </c:pt>
                <c:pt idx="1">
                  <c:v>0.24585672280139001</c:v>
                </c:pt>
                <c:pt idx="2">
                  <c:v>0.15225453591898405</c:v>
                </c:pt>
                <c:pt idx="3">
                  <c:v>0.23331527702543162</c:v>
                </c:pt>
                <c:pt idx="4">
                  <c:v>0.29289720142553249</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Analysis'!$B$9:$F$9</c:f>
              <c:numCache>
                <c:formatCode>0.00%</c:formatCode>
                <c:ptCount val="5"/>
                <c:pt idx="0">
                  <c:v>0.29977579745687943</c:v>
                </c:pt>
                <c:pt idx="1">
                  <c:v>0.35420047155010892</c:v>
                </c:pt>
                <c:pt idx="2">
                  <c:v>0.44735453060198566</c:v>
                </c:pt>
                <c:pt idx="3">
                  <c:v>0.35623669580269629</c:v>
                </c:pt>
                <c:pt idx="4">
                  <c:v>0.36070184338329092</c:v>
                </c:pt>
              </c:numCache>
            </c:numRef>
          </c:val>
          <c:smooth val="0"/>
        </c:ser>
        <c:dLbls>
          <c:showLegendKey val="0"/>
          <c:showVal val="1"/>
          <c:showCatName val="0"/>
          <c:showSerName val="0"/>
          <c:showPercent val="0"/>
          <c:showBubbleSize val="0"/>
        </c:dLbls>
        <c:smooth val="0"/>
        <c:axId val="2133435920"/>
        <c:axId val="2133436464"/>
      </c:lineChart>
      <c:catAx>
        <c:axId val="213343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6464"/>
        <c:crosses val="autoZero"/>
        <c:auto val="1"/>
        <c:lblAlgn val="ctr"/>
        <c:lblOffset val="100"/>
        <c:noMultiLvlLbl val="0"/>
      </c:catAx>
      <c:valAx>
        <c:axId val="2133436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435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Current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Analysis'!$I$11:$M$11</c:f>
              <c:numCache>
                <c:formatCode>0.00</c:formatCode>
                <c:ptCount val="5"/>
                <c:pt idx="0">
                  <c:v>2.7117620333003716</c:v>
                </c:pt>
                <c:pt idx="1">
                  <c:v>2.504021917808219</c:v>
                </c:pt>
                <c:pt idx="2">
                  <c:v>2.5013438164386859</c:v>
                </c:pt>
                <c:pt idx="3">
                  <c:v>2.3528817157201343</c:v>
                </c:pt>
                <c:pt idx="4">
                  <c:v>2.4772730794861064</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Analysis'!$B$11:$F$11</c:f>
              <c:numCache>
                <c:formatCode>0.00</c:formatCode>
                <c:ptCount val="5"/>
                <c:pt idx="0">
                  <c:v>1.6786385084062485</c:v>
                </c:pt>
                <c:pt idx="1">
                  <c:v>1.0801128483167317</c:v>
                </c:pt>
                <c:pt idx="2">
                  <c:v>1.1087706239920605</c:v>
                </c:pt>
                <c:pt idx="3">
                  <c:v>1.352669417512594</c:v>
                </c:pt>
                <c:pt idx="4">
                  <c:v>1.2760628484139107</c:v>
                </c:pt>
              </c:numCache>
            </c:numRef>
          </c:val>
          <c:smooth val="0"/>
        </c:ser>
        <c:dLbls>
          <c:showLegendKey val="0"/>
          <c:showVal val="1"/>
          <c:showCatName val="0"/>
          <c:showSerName val="0"/>
          <c:showPercent val="0"/>
          <c:showBubbleSize val="0"/>
        </c:dLbls>
        <c:smooth val="0"/>
        <c:axId val="2136710336"/>
        <c:axId val="2136707616"/>
      </c:lineChart>
      <c:catAx>
        <c:axId val="213671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07616"/>
        <c:crosses val="autoZero"/>
        <c:auto val="1"/>
        <c:lblAlgn val="ctr"/>
        <c:lblOffset val="100"/>
        <c:noMultiLvlLbl val="0"/>
      </c:catAx>
      <c:valAx>
        <c:axId val="2136707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10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Quick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Analysis'!$I$12:$M$12</c:f>
              <c:numCache>
                <c:formatCode>0.00</c:formatCode>
                <c:ptCount val="5"/>
                <c:pt idx="0">
                  <c:v>2.6599673944998261</c:v>
                </c:pt>
                <c:pt idx="1">
                  <c:v>2.4457205479452053</c:v>
                </c:pt>
                <c:pt idx="2">
                  <c:v>2.4431385133779937</c:v>
                </c:pt>
                <c:pt idx="3">
                  <c:v>2.3149586400929967</c:v>
                </c:pt>
                <c:pt idx="4">
                  <c:v>2.4434732747532042</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Analysis'!$B$12:$F$12</c:f>
              <c:numCache>
                <c:formatCode>0.00</c:formatCode>
                <c:ptCount val="5"/>
                <c:pt idx="0">
                  <c:v>1.6382335425351597</c:v>
                </c:pt>
                <c:pt idx="1">
                  <c:v>1.0468415080065565</c:v>
                </c:pt>
                <c:pt idx="2">
                  <c:v>1.0796303188190051</c:v>
                </c:pt>
                <c:pt idx="3">
                  <c:v>1.3256841252563096</c:v>
                </c:pt>
                <c:pt idx="4">
                  <c:v>1.2279048544844962</c:v>
                </c:pt>
              </c:numCache>
            </c:numRef>
          </c:val>
          <c:smooth val="0"/>
        </c:ser>
        <c:dLbls>
          <c:showLegendKey val="0"/>
          <c:showVal val="1"/>
          <c:showCatName val="0"/>
          <c:showSerName val="0"/>
          <c:showPercent val="0"/>
          <c:showBubbleSize val="0"/>
        </c:dLbls>
        <c:smooth val="0"/>
        <c:axId val="2136711968"/>
        <c:axId val="2136707072"/>
      </c:lineChart>
      <c:catAx>
        <c:axId val="213671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07072"/>
        <c:crosses val="autoZero"/>
        <c:auto val="1"/>
        <c:lblAlgn val="ctr"/>
        <c:lblOffset val="100"/>
        <c:noMultiLvlLbl val="0"/>
      </c:catAx>
      <c:valAx>
        <c:axId val="2136707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11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Debtors' Turnover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Microsoft</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Analysis'!$I$14:$M$14</c:f>
              <c:numCache>
                <c:formatCode>0.00</c:formatCode>
                <c:ptCount val="5"/>
                <c:pt idx="0">
                  <c:v>4.6803943966812964</c:v>
                </c:pt>
                <c:pt idx="1">
                  <c:v>4.6898730758844183</c:v>
                </c:pt>
                <c:pt idx="2">
                  <c:v>4.9973299156253335</c:v>
                </c:pt>
                <c:pt idx="3">
                  <c:v>4.7157662014646951</c:v>
                </c:pt>
                <c:pt idx="4">
                  <c:v>4.7256297775092593</c:v>
                </c:pt>
              </c:numCache>
            </c:numRef>
          </c:val>
          <c:smooth val="0"/>
        </c:ser>
        <c:ser>
          <c:idx val="1"/>
          <c:order val="1"/>
          <c:tx>
            <c:v>Apple Inc</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'Ratio Analysis'!$B$2:$F$2</c:f>
              <c:numCache>
                <c:formatCode>General</c:formatCode>
                <c:ptCount val="5"/>
                <c:pt idx="0">
                  <c:v>2013</c:v>
                </c:pt>
                <c:pt idx="1">
                  <c:v>2014</c:v>
                </c:pt>
                <c:pt idx="2">
                  <c:v>2015</c:v>
                </c:pt>
                <c:pt idx="3">
                  <c:v>2016</c:v>
                </c:pt>
                <c:pt idx="4">
                  <c:v>2017</c:v>
                </c:pt>
              </c:numCache>
            </c:numRef>
          </c:cat>
          <c:val>
            <c:numRef>
              <c:f>'Ratio Analysis'!$B$14:$F$14</c:f>
              <c:numCache>
                <c:formatCode>0.00</c:formatCode>
                <c:ptCount val="5"/>
                <c:pt idx="0">
                  <c:v>14.223535286284953</c:v>
                </c:pt>
                <c:pt idx="1">
                  <c:v>11.96224069105425</c:v>
                </c:pt>
                <c:pt idx="2">
                  <c:v>13.624121950508613</c:v>
                </c:pt>
                <c:pt idx="3">
                  <c:v>13.228169186884642</c:v>
                </c:pt>
                <c:pt idx="4">
                  <c:v>13.633519685975973</c:v>
                </c:pt>
              </c:numCache>
            </c:numRef>
          </c:val>
          <c:smooth val="0"/>
        </c:ser>
        <c:dLbls>
          <c:showLegendKey val="0"/>
          <c:showVal val="1"/>
          <c:showCatName val="0"/>
          <c:showSerName val="0"/>
          <c:showPercent val="0"/>
          <c:showBubbleSize val="0"/>
        </c:dLbls>
        <c:smooth val="0"/>
        <c:axId val="2136705984"/>
        <c:axId val="2136705440"/>
      </c:lineChart>
      <c:catAx>
        <c:axId val="213670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05440"/>
        <c:crosses val="autoZero"/>
        <c:auto val="1"/>
        <c:lblAlgn val="ctr"/>
        <c:lblOffset val="100"/>
        <c:noMultiLvlLbl val="0"/>
      </c:catAx>
      <c:valAx>
        <c:axId val="2136705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6705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 TECH</cp:lastModifiedBy>
  <cp:revision>2</cp:revision>
  <dcterms:created xsi:type="dcterms:W3CDTF">2026-01-12T18:11:00Z</dcterms:created>
  <dcterms:modified xsi:type="dcterms:W3CDTF">2026-01-12T18:11:00Z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69721efb-16b1-4b21-9713-df72dd61a367</vt:lpwstr>
  </property>
</Properties>
</file>