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0"/>
      </w:pPr>
      <w:r>
        <w:rPr>
          <w:sz w:val="2"/>
          <w:szCs w:val="2"/>
        </w:rPr>
        <w:t xml:space="preserve"/>
      </w:r>
    </w:p>
    <w:p>
      <w:pPr>
        <w:spacing w:after="120"/>
        <w:jc w:val="center"/>
      </w:pPr>
      <w:r>
        <w:rPr>
          <w:rFonts w:ascii="Times New Roman" w:cs="Times New Roman" w:eastAsia="Times New Roman" w:hAnsi="Times New Roman"/>
          <w:b/>
          <w:bCs/>
          <w:sz w:val="32"/>
          <w:szCs w:val="32"/>
        </w:rPr>
        <w:t xml:space="preserve">Job Satisfaction, Tenure, and Compensation as Correlates of Employee Attrition: A Secondary Data Analysis of Group Differences Using the IBM HR Analytics Dataset</w:t>
      </w:r>
    </w:p>
    <w:p>
      <w:pPr>
        <w:spacing w:after="2000" w:before="200"/>
        <w:jc w:val="center"/>
      </w:pPr>
      <w:r>
        <w:rPr>
          <w:rFonts w:ascii="Times New Roman" w:cs="Times New Roman" w:eastAsia="Times New Roman" w:hAnsi="Times New Roman"/>
          <w:i/>
          <w:iCs/>
          <w:color w:val="444444"/>
          <w:sz w:val="26"/>
          <w:szCs w:val="26"/>
        </w:rPr>
        <w:t xml:space="preserve">An Empirical Study Using Secondary Quantitative Data</w:t>
      </w:r>
    </w:p>
    <w:p>
      <w:pPr>
        <w:spacing w:after="80"/>
        <w:jc w:val="center"/>
      </w:pPr>
      <w:r>
        <w:rPr>
          <w:rFonts w:ascii="Times New Roman" w:cs="Times New Roman" w:eastAsia="Times New Roman" w:hAnsi="Times New Roman"/>
          <w:sz w:val="24"/>
          <w:szCs w:val="24"/>
        </w:rPr>
        <w:t xml:space="preserve">[Author Name]</w:t>
      </w:r>
    </w:p>
    <w:p>
      <w:pPr>
        <w:spacing w:after="80"/>
        <w:jc w:val="center"/>
      </w:pPr>
      <w:r>
        <w:rPr>
          <w:rFonts w:ascii="Times New Roman" w:cs="Times New Roman" w:eastAsia="Times New Roman" w:hAnsi="Times New Roman"/>
          <w:sz w:val="24"/>
          <w:szCs w:val="24"/>
        </w:rPr>
        <w:t xml:space="preserve">[Department / Institutional Affiliation]</w:t>
      </w:r>
    </w:p>
    <w:p>
      <w:pPr>
        <w:spacing w:after="80"/>
        <w:jc w:val="center"/>
      </w:pPr>
      <w:r>
        <w:rPr>
          <w:rFonts w:ascii="Times New Roman" w:cs="Times New Roman" w:eastAsia="Times New Roman" w:hAnsi="Times New Roman"/>
          <w:sz w:val="24"/>
          <w:szCs w:val="24"/>
        </w:rPr>
        <w:t xml:space="preserve">[Course / Program, if applicable]</w:t>
      </w:r>
    </w:p>
    <w:p>
      <w:pPr>
        <w:spacing w:after="80"/>
        <w:jc w:val="center"/>
      </w:pPr>
      <w:r>
        <w:rPr>
          <w:rFonts w:ascii="Times New Roman" w:cs="Times New Roman" w:eastAsia="Times New Roman" w:hAnsi="Times New Roman"/>
          <w:sz w:val="24"/>
          <w:szCs w:val="24"/>
        </w:rPr>
        <w:t xml:space="preserve">[Instructor / Supervisor Name]</w:t>
      </w:r>
    </w:p>
    <w:p>
      <w:pPr>
        <w:spacing w:after="2000"/>
        <w:jc w:val="center"/>
      </w:pPr>
      <w:r>
        <w:rPr>
          <w:rFonts w:ascii="Times New Roman" w:cs="Times New Roman" w:eastAsia="Times New Roman" w:hAnsi="Times New Roman"/>
          <w:sz w:val="24"/>
          <w:szCs w:val="24"/>
        </w:rPr>
        <w:t xml:space="preserve">September 2026</w:t>
      </w:r>
    </w:p>
    <w:p>
      <w:pPr>
        <w:spacing w:after="40"/>
        <w:jc w:val="center"/>
      </w:pPr>
      <w:r>
        <w:rPr>
          <w:rFonts w:ascii="Times New Roman" w:cs="Times New Roman" w:eastAsia="Times New Roman" w:hAnsi="Times New Roman"/>
          <w:b/>
          <w:bCs/>
          <w:sz w:val="22"/>
          <w:szCs w:val="22"/>
        </w:rPr>
        <w:t xml:space="preserve">Author Note</w:t>
      </w:r>
    </w:p>
    <w:p>
      <w:pPr>
        <w:jc w:val="center"/>
      </w:pPr>
      <w:r>
        <w:rPr>
          <w:rFonts w:ascii="Times New Roman" w:cs="Times New Roman" w:eastAsia="Times New Roman" w:hAnsi="Times New Roman"/>
          <w:color w:val="444444"/>
          <w:sz w:val="20"/>
          <w:szCs w:val="20"/>
        </w:rPr>
        <w:t xml:space="preserve">Correspondence concerning this article should be addressed to [Author Name], [Email Address]. This study uses a secondary, publicly available dataset; no new human-subjects data were collected. The authors declare no conflicts of interest and received no external funding for this work.</w:t>
      </w:r>
    </w:p>
    <w:p>
      <w:r>
        <w:br w:type="page"/>
      </w:r>
    </w:p>
    <w:p>
      <w:pPr>
        <w:pStyle w:val="Heading1"/>
        <w:spacing w:after="200" w:before="360"/>
      </w:pPr>
      <w:r>
        <w:rPr>
          <w:rFonts w:ascii="Times New Roman" w:cs="Times New Roman" w:eastAsia="Times New Roman" w:hAnsi="Times New Roman"/>
          <w:b/>
          <w:bCs/>
          <w:color w:val="1F1F1F"/>
          <w:sz w:val="28"/>
          <w:szCs w:val="28"/>
        </w:rPr>
        <w:t xml:space="preserve">Abstract</w:t>
      </w:r>
    </w:p>
    <w:p>
      <w:pPr>
        <w:spacing w:after="200" w:line="360"/>
        <w:jc w:val="both"/>
      </w:pPr>
      <w:r>
        <w:rPr>
          <w:rFonts w:ascii="Times New Roman" w:cs="Times New Roman" w:eastAsia="Times New Roman" w:hAnsi="Times New Roman"/>
          <w:sz w:val="24"/>
          <w:szCs w:val="24"/>
        </w:rPr>
        <w:t xml:space="preserve">This study examines whether job satisfaction, tenure, compensation, and related work characteristics differ significantly between employees who voluntarily left an organization and those who remained, using the publicly available IBM HR Analytics Employee Attrition dataset (N = 1,470). Independent-samples t-tests and one-way analyses of variance (ANOVA) were conducted to compare groups defined by attrition status, overtime status, department, and job role. Employees who left reported significantly lower job satisfaction, environment satisfaction, work–life balance, monthly income, tenure, and total working years than employees who stayed, and lived significantly farther from the workplace (all p &lt; .05). Monthly income and work–life balance also differed significantly across departments, though effect sizes were small. Job satisfaction did not differ significantly by department, job role, or overtime status. These findings are broadly consistent with established turnover theory linking withdrawal behavior to job attitudes and embeddedness, while highlighting compensation and commute distance as under-examined correlates. Limitations, including the dataset's cross-sectional design and IBM's own documentation indicating it was constructed for analytics demonstration purposes rather than drawn from live company records, are discussed.</w:t>
      </w:r>
    </w:p>
    <w:p>
      <w:pPr>
        <w:spacing w:after="200" w:line="360"/>
        <w:jc w:val="both"/>
      </w:pPr>
      <w:r>
        <w:rPr>
          <w:rFonts w:ascii="Times New Roman" w:cs="Times New Roman" w:eastAsia="Times New Roman" w:hAnsi="Times New Roman"/>
          <w:i/>
          <w:iCs/>
          <w:sz w:val="24"/>
          <w:szCs w:val="24"/>
        </w:rPr>
        <w:t xml:space="preserve">Keywords: employee attrition; job satisfaction; secondary data analysis; t-test; ANOVA; turnover; human resource analytics</w:t>
      </w:r>
    </w:p>
    <w:p>
      <w:pPr>
        <w:pStyle w:val="Heading1"/>
        <w:spacing w:after="200" w:before="360"/>
      </w:pPr>
      <w:r>
        <w:rPr>
          <w:rFonts w:ascii="Times New Roman" w:cs="Times New Roman" w:eastAsia="Times New Roman" w:hAnsi="Times New Roman"/>
          <w:b/>
          <w:bCs/>
          <w:color w:val="1F1F1F"/>
          <w:sz w:val="28"/>
          <w:szCs w:val="28"/>
        </w:rPr>
        <w:t xml:space="preserve">1. Introduction</w:t>
      </w:r>
    </w:p>
    <w:p>
      <w:pPr>
        <w:spacing w:after="200" w:line="360"/>
        <w:jc w:val="both"/>
      </w:pPr>
      <w:r>
        <w:rPr>
          <w:rFonts w:ascii="Times New Roman" w:cs="Times New Roman" w:eastAsia="Times New Roman" w:hAnsi="Times New Roman"/>
          <w:sz w:val="24"/>
          <w:szCs w:val="24"/>
        </w:rPr>
        <w:t xml:space="preserve">Voluntary employee turnover remains one of the most consequential and costly problems in organizational life, with replacement costs for a departing employee commonly estimated at between one-half and two times that employee's annual salary once recruitment, onboarding, and lost productivity are accounted for. Decades of organizational behavior research have sought to identify the attitudinal and structural correlates of turnover, beginning with Mobley's (1977) foundational model linking job dissatisfaction to a sequence of withdrawal cognitions culminating in an employee's decision to quit. Since then, the field has expanded well beyond satisfaction alone, incorporating constructs such as job embeddedness—the combined web of links, fit, and sacrifice that binds an employee to an organization and community (Mitchell, Holtom, Lee, Sablynski, &amp; Erez, 2001)—and large meta-analytic syntheses identifying a broad set of reliable turnover antecedents (Griffeth, Hom, &amp; Gaertner, 2000).</w:t>
      </w:r>
    </w:p>
    <w:p>
      <w:pPr>
        <w:spacing w:after="200" w:line="360"/>
        <w:jc w:val="both"/>
      </w:pPr>
      <w:r>
        <w:rPr>
          <w:rFonts w:ascii="Times New Roman" w:cs="Times New Roman" w:eastAsia="Times New Roman" w:hAnsi="Times New Roman"/>
          <w:sz w:val="24"/>
          <w:szCs w:val="24"/>
        </w:rPr>
        <w:t xml:space="preserve">Much of this literature relies on purpose-built survey instruments administered to a single organization or industry, which, while rigorous, can be costly to replicate and slow to accumulate. An alternative and increasingly common approach is secondary data analysis: applying inferential statistics to data that has already been collected and made publicly available, whether by governments, research consortia, or, as in the case of the dataset used here, technology firms releasing sample HR datasets for analytics training and benchmarking. The IBM HR Analytics Employee Attrition dataset is one of the most widely used datasets of this kind, having been employed in numerous applied and academic studies of employee turnover, and it offers a rich set of variables—including job satisfaction, compensation, tenure, and departmental assignment—well suited to group-comparison analysis.</w:t>
      </w:r>
    </w:p>
    <w:p>
      <w:pPr>
        <w:spacing w:after="200" w:line="360"/>
        <w:jc w:val="both"/>
      </w:pPr>
      <w:r>
        <w:rPr>
          <w:rFonts w:ascii="Times New Roman" w:cs="Times New Roman" w:eastAsia="Times New Roman" w:hAnsi="Times New Roman"/>
          <w:sz w:val="24"/>
          <w:szCs w:val="24"/>
        </w:rPr>
        <w:t xml:space="preserve">The present study uses this dataset to ask a focused empirical question: do employees who leave an organization differ systematically from those who stay, on job satisfaction, compensation, tenure, and related characteristics? A secondary aim examines whether these characteristics vary across departments, job roles, and overtime status, independent of attrition. Because the analysis is confined to describing and testing group differences, it complements, rather than replaces, more complex predictive or causal modeling of turnover; its contribution is a clearly specified, transparently reported set of group comparisons that other researchers can build on or replicate.</w:t>
      </w:r>
    </w:p>
    <w:p>
      <w:pPr>
        <w:pStyle w:val="Heading1"/>
        <w:spacing w:after="200" w:before="360"/>
      </w:pPr>
      <w:r>
        <w:rPr>
          <w:rFonts w:ascii="Times New Roman" w:cs="Times New Roman" w:eastAsia="Times New Roman" w:hAnsi="Times New Roman"/>
          <w:b/>
          <w:bCs/>
          <w:color w:val="1F1F1F"/>
          <w:sz w:val="28"/>
          <w:szCs w:val="28"/>
        </w:rPr>
        <w:t xml:space="preserve">2. Literature Review</w:t>
      </w:r>
    </w:p>
    <w:p>
      <w:pPr>
        <w:pStyle w:val="Heading2"/>
        <w:spacing w:after="160" w:before="260"/>
      </w:pPr>
      <w:r>
        <w:rPr>
          <w:rFonts w:ascii="Times New Roman" w:cs="Times New Roman" w:eastAsia="Times New Roman" w:hAnsi="Times New Roman"/>
          <w:b/>
          <w:bCs/>
          <w:i/>
          <w:iCs/>
          <w:color w:val="1F1F1F"/>
          <w:sz w:val="26"/>
          <w:szCs w:val="26"/>
        </w:rPr>
        <w:t xml:space="preserve">2.1 Job Satisfaction and Withdrawal Behavior</w:t>
      </w:r>
    </w:p>
    <w:p>
      <w:pPr>
        <w:spacing w:after="200" w:line="360"/>
        <w:jc w:val="both"/>
      </w:pPr>
      <w:r>
        <w:rPr>
          <w:rFonts w:ascii="Times New Roman" w:cs="Times New Roman" w:eastAsia="Times New Roman" w:hAnsi="Times New Roman"/>
          <w:sz w:val="24"/>
          <w:szCs w:val="24"/>
        </w:rPr>
        <w:t xml:space="preserve">Mobley's (1977) intermediate linkages model remains among the most cited frameworks in the turnover literature, proposing that dissatisfaction does not translate directly into quitting but instead proceeds through a sequence of thoughts of quitting, evaluation of the expected utility of search, intention to search, intention to quit, and finally the behavior itself. Subsequent large-scale meta-analytic work by Griffeth, Hom, and Gaertner (2000) confirmed that job satisfaction and organizational commitment remain among the more consistent, though moderate-sized, predictors of turnover across hundreds of primary studies, alongside variables such as pay, pay satisfaction, and job performance. This literature provides the theoretical basis for expecting job satisfaction to differ between employees who leave and those who remain, motivating the first group comparison in the present study.</w:t>
      </w:r>
    </w:p>
    <w:p>
      <w:pPr>
        <w:pStyle w:val="Heading2"/>
        <w:spacing w:after="160" w:before="260"/>
      </w:pPr>
      <w:r>
        <w:rPr>
          <w:rFonts w:ascii="Times New Roman" w:cs="Times New Roman" w:eastAsia="Times New Roman" w:hAnsi="Times New Roman"/>
          <w:b/>
          <w:bCs/>
          <w:i/>
          <w:iCs/>
          <w:color w:val="1F1F1F"/>
          <w:sz w:val="26"/>
          <w:szCs w:val="26"/>
        </w:rPr>
        <w:t xml:space="preserve">2.2 Job Embeddedness, Tenure, and Compensation</w:t>
      </w:r>
    </w:p>
    <w:p>
      <w:pPr>
        <w:spacing w:after="200" w:line="360"/>
        <w:jc w:val="both"/>
      </w:pPr>
      <w:r>
        <w:rPr>
          <w:rFonts w:ascii="Times New Roman" w:cs="Times New Roman" w:eastAsia="Times New Roman" w:hAnsi="Times New Roman"/>
          <w:sz w:val="24"/>
          <w:szCs w:val="24"/>
        </w:rPr>
        <w:t xml:space="preserve">Mitchell, Holtom, Lee, Sablynski, and Erez (2001) extended the attitudinal turnover literature by introducing job embeddedness, arguing that an employee's on-the-job links, perceived fit, and anticipated sacrifice from leaving explain incremental variance in turnover beyond job satisfaction and organizational commitment alone. Tenure and total working years can be understood as behavioral proxies for accumulated embeddedness and sunk investment in a role, while compensation is one of the more concrete forms of sacrifice an employee forfeits by leaving. This reasoning motivates comparing tenure, total working years, and monthly income between employees who left and those who stayed, in addition to satisfaction measures.</w:t>
      </w:r>
    </w:p>
    <w:p>
      <w:pPr>
        <w:pStyle w:val="Heading2"/>
        <w:spacing w:after="160" w:before="260"/>
      </w:pPr>
      <w:r>
        <w:rPr>
          <w:rFonts w:ascii="Times New Roman" w:cs="Times New Roman" w:eastAsia="Times New Roman" w:hAnsi="Times New Roman"/>
          <w:b/>
          <w:bCs/>
          <w:i/>
          <w:iCs/>
          <w:color w:val="1F1F1F"/>
          <w:sz w:val="26"/>
          <w:szCs w:val="26"/>
        </w:rPr>
        <w:t xml:space="preserve">2.3 Departmental and Role-Based Variation</w:t>
      </w:r>
    </w:p>
    <w:p>
      <w:pPr>
        <w:spacing w:after="200" w:line="360"/>
        <w:jc w:val="both"/>
      </w:pPr>
      <w:r>
        <w:rPr>
          <w:rFonts w:ascii="Times New Roman" w:cs="Times New Roman" w:eastAsia="Times New Roman" w:hAnsi="Times New Roman"/>
          <w:sz w:val="24"/>
          <w:szCs w:val="24"/>
        </w:rPr>
        <w:t xml:space="preserve">A smaller body of work has examined whether turnover-relevant attitudes vary systematically by organizational subunit, reflecting differences in leadership climate, workload, or compensation structure across departments and roles. If job satisfaction or work–life balance differ meaningfully by department or job role, this would suggest that turnover-reduction interventions should be targeted rather than organization-wide. The present study tests this possibility directly using one-way ANOVA.</w:t>
      </w:r>
    </w:p>
    <w:p>
      <w:pPr>
        <w:pStyle w:val="Heading1"/>
        <w:spacing w:after="200" w:before="360"/>
      </w:pPr>
      <w:r>
        <w:rPr>
          <w:rFonts w:ascii="Times New Roman" w:cs="Times New Roman" w:eastAsia="Times New Roman" w:hAnsi="Times New Roman"/>
          <w:b/>
          <w:bCs/>
          <w:color w:val="1F1F1F"/>
          <w:sz w:val="28"/>
          <w:szCs w:val="28"/>
        </w:rPr>
        <w:t xml:space="preserve">3. Method</w:t>
      </w:r>
    </w:p>
    <w:p>
      <w:pPr>
        <w:pStyle w:val="Heading2"/>
        <w:spacing w:after="160" w:before="260"/>
      </w:pPr>
      <w:r>
        <w:rPr>
          <w:rFonts w:ascii="Times New Roman" w:cs="Times New Roman" w:eastAsia="Times New Roman" w:hAnsi="Times New Roman"/>
          <w:b/>
          <w:bCs/>
          <w:i/>
          <w:iCs/>
          <w:color w:val="1F1F1F"/>
          <w:sz w:val="26"/>
          <w:szCs w:val="26"/>
        </w:rPr>
        <w:t xml:space="preserve">3.1 Data Source</w:t>
      </w:r>
    </w:p>
    <w:p>
      <w:pPr>
        <w:spacing w:after="200" w:line="360"/>
        <w:jc w:val="both"/>
      </w:pPr>
      <w:r>
        <w:rPr>
          <w:rFonts w:ascii="Times New Roman" w:cs="Times New Roman" w:eastAsia="Times New Roman" w:hAnsi="Times New Roman"/>
          <w:sz w:val="24"/>
          <w:szCs w:val="24"/>
        </w:rPr>
        <w:t xml:space="preserve">This study uses secondary data from the IBM HR Analytics Employee Attrition &amp; Performance dataset, originally released by IBM and widely redistributed for research and analytics training purposes. Because this is a secondary-data study, the dataset was not collected by the present author; it was retrieved from a public repository in its original, unmodified form. An important limitation, discussed further in Section 7, is that IBM's own documentation describes the dataset as constructed by IBM data scientists for analytics demonstration purposes rather than drawn directly from a single company's live personnel records. It is nonetheless a genuine, independently created, and widely used secondary dataset in published HR analytics research, and it is treated here accordingly—as real secondary data suitable for demonstrating and reporting genuine statistical analysis, not as a live audit of a named employer.</w:t>
      </w:r>
    </w:p>
    <w:p>
      <w:pPr>
        <w:pStyle w:val="Heading2"/>
        <w:spacing w:after="160" w:before="260"/>
      </w:pPr>
      <w:r>
        <w:rPr>
          <w:rFonts w:ascii="Times New Roman" w:cs="Times New Roman" w:eastAsia="Times New Roman" w:hAnsi="Times New Roman"/>
          <w:b/>
          <w:bCs/>
          <w:i/>
          <w:iCs/>
          <w:color w:val="1F1F1F"/>
          <w:sz w:val="26"/>
          <w:szCs w:val="26"/>
        </w:rPr>
        <w:t xml:space="preserve">3.2 Sample</w:t>
      </w:r>
    </w:p>
    <w:p>
      <w:pPr>
        <w:spacing w:after="200" w:line="360"/>
        <w:jc w:val="both"/>
      </w:pPr>
      <w:r>
        <w:rPr>
          <w:rFonts w:ascii="Times New Roman" w:cs="Times New Roman" w:eastAsia="Times New Roman" w:hAnsi="Times New Roman"/>
          <w:sz w:val="24"/>
          <w:szCs w:val="24"/>
        </w:rPr>
        <w:t xml:space="preserve">The dataset comprises 1,470 employee records across three departments (Research &amp; Development, Sales, and Human Resources) and nine job roles. Table 1 summarizes key sample characteristics. Of the 1,470 employees, 237 (16.1%) were coded as having left the organization (Attrition = Yes) and 1,233 (83.9%) as having remained (Attrition = No).</w:t>
      </w:r>
    </w:p>
    <w:p>
      <w:pPr>
        <w:spacing w:after="100" w:before="160"/>
        <w:jc w:val="left"/>
      </w:pPr>
      <w:r>
        <w:rPr>
          <w:rFonts w:ascii="Times New Roman" w:cs="Times New Roman" w:eastAsia="Times New Roman" w:hAnsi="Times New Roman"/>
          <w:b/>
          <w:bCs/>
          <w:i/>
          <w:iCs/>
          <w:sz w:val="22"/>
          <w:szCs w:val="22"/>
        </w:rPr>
        <w:t xml:space="preserve">Table 1</w:t>
      </w:r>
    </w:p>
    <w:p>
      <w:pPr>
        <w:spacing w:after="200" w:before="80"/>
      </w:pPr>
      <w:r>
        <w:rPr>
          <w:rFonts w:ascii="Times New Roman" w:cs="Times New Roman" w:eastAsia="Times New Roman" w:hAnsi="Times New Roman"/>
          <w:i/>
          <w:iCs/>
          <w:sz w:val="20"/>
          <w:szCs w:val="20"/>
        </w:rPr>
        <w:t xml:space="preserve">Sample Characteristics (N = 1,470)</w:t>
      </w:r>
    </w:p>
    <w:tbl>
      <w:tblPr>
        <w:tblW w:type="dxa" w:w="6500"/>
        <w:tblBorders>
          <w:top w:val="single" w:color="auto" w:sz="4"/>
          <w:left w:val="single" w:color="auto" w:sz="4"/>
          <w:bottom w:val="single" w:color="auto" w:sz="4"/>
          <w:right w:val="single" w:color="auto" w:sz="4"/>
          <w:insideH w:val="single" w:color="auto" w:sz="4"/>
          <w:insideV w:val="single" w:color="auto" w:sz="4"/>
        </w:tblBorders>
      </w:tblPr>
      <w:tblGrid>
        <w:gridCol w:w="3000"/>
        <w:gridCol w:w="1500"/>
        <w:gridCol w:w="2000"/>
      </w:tblGrid>
      <w:tr>
        <w:tc>
          <w:tcPr>
            <w:tcW w:type="dxa" w:w="30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Characteristic</w:t>
            </w:r>
          </w:p>
        </w:tc>
        <w:tc>
          <w:tcPr>
            <w:tcW w:type="dxa" w:w="15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n</w:t>
            </w:r>
          </w:p>
        </w:tc>
        <w:tc>
          <w:tcPr>
            <w:tcW w:type="dxa" w:w="20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Attrition — Yes</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237</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16.1</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Attrition — No</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1,233</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83.9</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Gender — Male</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882</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60.0</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Gender — Female</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588</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40.0</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Department — Research &amp; Development</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961</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65.4</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Department — Sales</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446</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30.3</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Department — Human Resources</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63</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4.3</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OverTime — Yes</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416</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28.3</w:t>
            </w:r>
          </w:p>
        </w:tc>
      </w:tr>
      <w:tr>
        <w:tc>
          <w:tcPr>
            <w:tcW w:type="dxa" w:w="30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OverTime — No</w:t>
            </w:r>
          </w:p>
        </w:tc>
        <w:tc>
          <w:tcPr>
            <w:tcW w:type="dxa" w:w="15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1,054</w:t>
            </w:r>
          </w:p>
        </w:tc>
        <w:tc>
          <w:tcPr>
            <w:tcW w:type="dxa" w:w="2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71.7</w:t>
            </w:r>
          </w:p>
        </w:tc>
      </w:tr>
    </w:tbl>
    <w:p>
      <w:pPr>
        <w:spacing w:after="200" w:before="80"/>
      </w:pPr>
      <w:r>
        <w:rPr>
          <w:rFonts w:ascii="Times New Roman" w:cs="Times New Roman" w:eastAsia="Times New Roman" w:hAnsi="Times New Roman"/>
          <w:i/>
          <w:iCs/>
          <w:sz w:val="20"/>
          <w:szCs w:val="20"/>
        </w:rPr>
        <w:t xml:space="preserve">Note. Percentages are rounded and may not sum to exactly 100 due to rounding.</w:t>
      </w:r>
    </w:p>
    <w:p>
      <w:pPr>
        <w:pStyle w:val="Heading2"/>
        <w:spacing w:after="160" w:before="260"/>
      </w:pPr>
      <w:r>
        <w:rPr>
          <w:rFonts w:ascii="Times New Roman" w:cs="Times New Roman" w:eastAsia="Times New Roman" w:hAnsi="Times New Roman"/>
          <w:b/>
          <w:bCs/>
          <w:i/>
          <w:iCs/>
          <w:color w:val="1F1F1F"/>
          <w:sz w:val="26"/>
          <w:szCs w:val="26"/>
        </w:rPr>
        <w:t xml:space="preserve">3.3 Measures</w:t>
      </w:r>
    </w:p>
    <w:p>
      <w:pPr>
        <w:spacing w:after="200" w:line="360"/>
        <w:jc w:val="both"/>
      </w:pPr>
      <w:r>
        <w:rPr>
          <w:rFonts w:ascii="Times New Roman" w:cs="Times New Roman" w:eastAsia="Times New Roman" w:hAnsi="Times New Roman"/>
          <w:sz w:val="24"/>
          <w:szCs w:val="24"/>
        </w:rPr>
        <w:t xml:space="preserve">Job Satisfaction, Environment Satisfaction, and Work–Life Balance were each measured on a single-item, 4-point ordinal scale (1 = Low/Bad to 4 = Very High/Best) as originally coded in the dataset. Monthly Income was recorded in U.S. dollars. Years at Company, Total Working Years, and Distance from Home were recorded as continuous variables in years and miles, respectively. Attrition, Overtime, Department, and Job Role were categorical variables as originally coded. A full variable codebook is provided in Appendix A.</w:t>
      </w:r>
    </w:p>
    <w:p>
      <w:pPr>
        <w:pStyle w:val="Heading2"/>
        <w:spacing w:after="160" w:before="260"/>
      </w:pPr>
      <w:r>
        <w:rPr>
          <w:rFonts w:ascii="Times New Roman" w:cs="Times New Roman" w:eastAsia="Times New Roman" w:hAnsi="Times New Roman"/>
          <w:b/>
          <w:bCs/>
          <w:i/>
          <w:iCs/>
          <w:color w:val="1F1F1F"/>
          <w:sz w:val="26"/>
          <w:szCs w:val="26"/>
        </w:rPr>
        <w:t xml:space="preserve">3.4 Analytic Strategy</w:t>
      </w:r>
    </w:p>
    <w:p>
      <w:pPr>
        <w:spacing w:after="200" w:line="360"/>
        <w:jc w:val="both"/>
      </w:pPr>
      <w:r>
        <w:rPr>
          <w:rFonts w:ascii="Times New Roman" w:cs="Times New Roman" w:eastAsia="Times New Roman" w:hAnsi="Times New Roman"/>
          <w:sz w:val="24"/>
          <w:szCs w:val="24"/>
        </w:rPr>
        <w:t xml:space="preserve">All analyses were conducted in Python 3 using the pandas, NumPy, and SciPy libraries, replicating the standard independent-samples t-test and one-way ANOVA procedures used in SPSS, with output formatted in the conventional APA/SPSS table style. For each two-group comparison (Attrition: Yes/No; Overtime: Yes/No), Levene's test for equality of variances was conducted first; where Levene's test was significant (p &lt; .05), the Welch-corrected t-test with adjusted degrees of freedom was reported instead of the pooled-variance test, consistent with standard SPSS practice when the equal-variance assumption is violated. Effect sizes for t-tests are reported as Cohen's d. For comparisons across three or more groups (Department, Job Role), one-way between-subjects ANOVA was conducted, with eta-squared (η²) reported as the effect-size estimate. An alpha level of .05 was used for all significance tests.</w:t>
      </w:r>
    </w:p>
    <w:p>
      <w:pPr>
        <w:pStyle w:val="Heading1"/>
        <w:spacing w:after="200" w:before="360"/>
      </w:pPr>
      <w:r>
        <w:rPr>
          <w:rFonts w:ascii="Times New Roman" w:cs="Times New Roman" w:eastAsia="Times New Roman" w:hAnsi="Times New Roman"/>
          <w:b/>
          <w:bCs/>
          <w:color w:val="1F1F1F"/>
          <w:sz w:val="28"/>
          <w:szCs w:val="28"/>
        </w:rPr>
        <w:t xml:space="preserve">4. Results</w:t>
      </w:r>
    </w:p>
    <w:p>
      <w:pPr>
        <w:pStyle w:val="Heading2"/>
        <w:spacing w:after="160" w:before="260"/>
      </w:pPr>
      <w:r>
        <w:rPr>
          <w:rFonts w:ascii="Times New Roman" w:cs="Times New Roman" w:eastAsia="Times New Roman" w:hAnsi="Times New Roman"/>
          <w:b/>
          <w:bCs/>
          <w:i/>
          <w:iCs/>
          <w:color w:val="1F1F1F"/>
          <w:sz w:val="26"/>
          <w:szCs w:val="26"/>
        </w:rPr>
        <w:t xml:space="preserve">4.1 Descriptive Statistics</w:t>
      </w:r>
    </w:p>
    <w:p>
      <w:pPr>
        <w:spacing w:after="200" w:line="360"/>
        <w:jc w:val="both"/>
      </w:pPr>
      <w:r>
        <w:rPr>
          <w:rFonts w:ascii="Times New Roman" w:cs="Times New Roman" w:eastAsia="Times New Roman" w:hAnsi="Times New Roman"/>
          <w:sz w:val="24"/>
          <w:szCs w:val="24"/>
        </w:rPr>
        <w:t xml:space="preserve">Descriptive statistics for the primary continuous variables are presented in Table 2. Monthly income, tenure, and total working years showed positive skew, consistent with the typical right-skewed distribution of income and tenure variables in organizational samples; this is noted as a consideration for the interpretation of mean-based comparisons below.</w:t>
      </w:r>
    </w:p>
    <w:p>
      <w:pPr>
        <w:spacing w:after="100" w:before="160"/>
        <w:jc w:val="left"/>
      </w:pPr>
      <w:r>
        <w:rPr>
          <w:rFonts w:ascii="Times New Roman" w:cs="Times New Roman" w:eastAsia="Times New Roman" w:hAnsi="Times New Roman"/>
          <w:b/>
          <w:bCs/>
          <w:i/>
          <w:iCs/>
          <w:sz w:val="22"/>
          <w:szCs w:val="22"/>
        </w:rPr>
        <w:t xml:space="preserve">Table 2</w:t>
      </w:r>
    </w:p>
    <w:p>
      <w:pPr>
        <w:spacing w:after="200" w:before="80"/>
      </w:pPr>
      <w:r>
        <w:rPr>
          <w:rFonts w:ascii="Times New Roman" w:cs="Times New Roman" w:eastAsia="Times New Roman" w:hAnsi="Times New Roman"/>
          <w:i/>
          <w:iCs/>
          <w:sz w:val="20"/>
          <w:szCs w:val="20"/>
        </w:rPr>
        <w:t xml:space="preserve">Descriptive Statistics for Key Continuous Variables (N = 1,470)</w:t>
      </w:r>
    </w:p>
    <w:tbl>
      <w:tblPr>
        <w:tblW w:type="dxa" w:w="8300"/>
        <w:tblBorders>
          <w:top w:val="single" w:color="auto" w:sz="4"/>
          <w:left w:val="single" w:color="auto" w:sz="4"/>
          <w:bottom w:val="single" w:color="auto" w:sz="4"/>
          <w:right w:val="single" w:color="auto" w:sz="4"/>
          <w:insideH w:val="single" w:color="auto" w:sz="4"/>
          <w:insideV w:val="single" w:color="auto" w:sz="4"/>
        </w:tblBorders>
      </w:tblPr>
      <w:tblGrid>
        <w:gridCol w:w="2600"/>
        <w:gridCol w:w="800"/>
        <w:gridCol w:w="1100"/>
        <w:gridCol w:w="1000"/>
        <w:gridCol w:w="900"/>
        <w:gridCol w:w="900"/>
        <w:gridCol w:w="1000"/>
      </w:tblGrid>
      <w:tr>
        <w:tc>
          <w:tcPr>
            <w:tcW w:type="dxa" w:w="26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Variable</w:t>
            </w:r>
          </w:p>
        </w:tc>
        <w:tc>
          <w:tcPr>
            <w:tcW w:type="dxa" w:w="8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n</w:t>
            </w:r>
          </w:p>
        </w:tc>
        <w:tc>
          <w:tcPr>
            <w:tcW w:type="dxa" w:w="11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w:t>
            </w:r>
          </w:p>
        </w:tc>
        <w:tc>
          <w:tcPr>
            <w:tcW w:type="dxa" w:w="10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SD</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Min</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Max</w:t>
            </w:r>
          </w:p>
        </w:tc>
        <w:tc>
          <w:tcPr>
            <w:tcW w:type="dxa" w:w="10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Skew</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Job Satisfaction (1–4)</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1,470</w:t>
            </w:r>
          </w:p>
        </w:tc>
        <w:tc>
          <w:tcPr>
            <w:tcW w:type="dxa" w:w="11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2.73</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1.10</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-0.33</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Monthly Income (USD)</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1,470</w:t>
            </w:r>
          </w:p>
        </w:tc>
        <w:tc>
          <w:tcPr>
            <w:tcW w:type="dxa" w:w="11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6,502.93</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4,707.96</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1,009</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19,999</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1.37</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Work–Life Balance (1–4)</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1,470</w:t>
            </w:r>
          </w:p>
        </w:tc>
        <w:tc>
          <w:tcPr>
            <w:tcW w:type="dxa" w:w="11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2.76</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0.71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-0.55</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Environment Satisfaction (1–4)</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1,470</w:t>
            </w:r>
          </w:p>
        </w:tc>
        <w:tc>
          <w:tcPr>
            <w:tcW w:type="dxa" w:w="11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2.72</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1.09</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-0.32</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Years at Company</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1,470</w:t>
            </w:r>
          </w:p>
        </w:tc>
        <w:tc>
          <w:tcPr>
            <w:tcW w:type="dxa" w:w="11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7.01</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6.13</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40</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1.76</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Total Working Years</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1,470</w:t>
            </w:r>
          </w:p>
        </w:tc>
        <w:tc>
          <w:tcPr>
            <w:tcW w:type="dxa" w:w="11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11.28</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7.78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40</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1.12</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Distance from Home (mi)</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1,470</w:t>
            </w:r>
          </w:p>
        </w:tc>
        <w:tc>
          <w:tcPr>
            <w:tcW w:type="dxa" w:w="11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9.19</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8.11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29</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0.96</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Number of Companies Worked</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1,470</w:t>
            </w:r>
          </w:p>
        </w:tc>
        <w:tc>
          <w:tcPr>
            <w:tcW w:type="dxa" w:w="11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2.69</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2.50</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9</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1.03</w:t>
            </w:r>
          </w:p>
        </w:tc>
      </w:tr>
    </w:tbl>
    <w:p>
      <w:pPr>
        <w:pStyle w:val="Heading2"/>
        <w:spacing w:after="160" w:before="260"/>
      </w:pPr>
      <w:r>
        <w:rPr>
          <w:rFonts w:ascii="Times New Roman" w:cs="Times New Roman" w:eastAsia="Times New Roman" w:hAnsi="Times New Roman"/>
          <w:b/>
          <w:bCs/>
          <w:i/>
          <w:iCs/>
          <w:color w:val="1F1F1F"/>
          <w:sz w:val="26"/>
          <w:szCs w:val="26"/>
        </w:rPr>
        <w:t xml:space="preserve">4.2 Group Comparisons by Attrition Status</w:t>
      </w:r>
    </w:p>
    <w:p>
      <w:pPr>
        <w:spacing w:after="200" w:line="360"/>
        <w:jc w:val="both"/>
      </w:pPr>
      <w:r>
        <w:rPr>
          <w:rFonts w:ascii="Times New Roman" w:cs="Times New Roman" w:eastAsia="Times New Roman" w:hAnsi="Times New Roman"/>
          <w:sz w:val="24"/>
          <w:szCs w:val="24"/>
        </w:rPr>
        <w:t xml:space="preserve">Table 3 presents independent-samples t-test results comparing employees who left the organization with those who stayed. Employees who left reported significantly lower job satisfaction, t(1468) = -3.99, p &lt; .001, d = -0.28; lower environment satisfaction, t(323.5) = -3.75, p &lt; .001, d = -0.28; and lower work–life balance, t(323.9) = -2.17, p = .031, d = -0.17, than employees who remained, though all three effect sizes were small by conventional standards. Employees who left also earned significantly less, t(342.0) = -7.48, p &lt; .001, d = -0.44; had significantly shorter tenure, t(1468) = -5.20, p &lt; .001, d = -0.37; had significantly fewer total working years, t(1468) = -6.65, p &lt; .001, d = -0.47; and were significantly younger, t(1468) = -6.18, p &lt; .001, d = -0.44. Notably, employees who left lived significantly farther from the workplace than those who stayed, t(313.3) = 2.89, p = .004, d = 0.21—the only variable in this comparison set favoring stayers in the opposite direction of the general “more invested, more satisfied” pattern seen elsewhere in the table.</w:t>
      </w:r>
    </w:p>
    <w:p>
      <w:pPr>
        <w:spacing w:after="100" w:before="160"/>
        <w:jc w:val="left"/>
      </w:pPr>
      <w:r>
        <w:rPr>
          <w:rFonts w:ascii="Times New Roman" w:cs="Times New Roman" w:eastAsia="Times New Roman" w:hAnsi="Times New Roman"/>
          <w:b/>
          <w:bCs/>
          <w:i/>
          <w:iCs/>
          <w:sz w:val="22"/>
          <w:szCs w:val="22"/>
        </w:rPr>
        <w:t xml:space="preserve">Table 3</w:t>
      </w:r>
    </w:p>
    <w:p>
      <w:pPr>
        <w:spacing w:after="200" w:before="80"/>
      </w:pPr>
      <w:r>
        <w:rPr>
          <w:rFonts w:ascii="Times New Roman" w:cs="Times New Roman" w:eastAsia="Times New Roman" w:hAnsi="Times New Roman"/>
          <w:i/>
          <w:iCs/>
          <w:sz w:val="20"/>
          <w:szCs w:val="20"/>
        </w:rPr>
        <w:t xml:space="preserve">Independent-Samples t-Tests Comparing Employees Who Left vs. Stayed</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2400"/>
        <w:gridCol w:w="900"/>
        <w:gridCol w:w="800"/>
        <w:gridCol w:w="900"/>
        <w:gridCol w:w="800"/>
        <w:gridCol w:w="900"/>
        <w:gridCol w:w="700"/>
        <w:gridCol w:w="900"/>
        <w:gridCol w:w="800"/>
      </w:tblGrid>
      <w:tr>
        <w:tc>
          <w:tcPr>
            <w:tcW w:type="dxa" w:w="24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Variable</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 (Left)</w:t>
            </w:r>
          </w:p>
        </w:tc>
        <w:tc>
          <w:tcPr>
            <w:tcW w:type="dxa" w:w="8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SD</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 (Stayed)</w:t>
            </w:r>
          </w:p>
        </w:tc>
        <w:tc>
          <w:tcPr>
            <w:tcW w:type="dxa" w:w="8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SD</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t</w:t>
            </w:r>
          </w:p>
        </w:tc>
        <w:tc>
          <w:tcPr>
            <w:tcW w:type="dxa" w:w="7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df</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p</w:t>
            </w:r>
          </w:p>
        </w:tc>
        <w:tc>
          <w:tcPr>
            <w:tcW w:type="dxa" w:w="8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Cohen's d</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Job Satisfaction</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2.47</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1.12</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2.78</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1.09</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-3.99</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&lt; .001**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-0.28</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Monthly Income</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4,787.09</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3,640.21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6,832.74</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4,818.21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-7.48</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342.0ᵃ</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&lt; .001**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-0.44</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Work–Life Balance</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2.66</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0.82</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2.78</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0.68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-2.17</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323.9ᵃ</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.031*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-0.17</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Environment Satisfaction</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2.46</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1.17</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2.77</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1.07</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-3.75</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323.5ᵃ</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&lt; .001**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-0.28</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Years at Company</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5.13</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5.95</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7.37</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6.10</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-5.20</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&lt; .001**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-0.37</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Total Working Years</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8.25</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7.17</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11.86</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7.76</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-6.65</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&lt; .001**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-0.47</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Distance from Home</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10.63</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8.45</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8.92</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8.01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2.89</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313.3ᵃ</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.004**</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0.21</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Age</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33.61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9.69</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37.56</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8.89</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-6.18</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&lt; .001**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-0.44</w:t>
            </w:r>
          </w:p>
        </w:tc>
      </w:tr>
    </w:tbl>
    <w:p>
      <w:pPr>
        <w:spacing w:after="200" w:before="80"/>
      </w:pPr>
      <w:r>
        <w:rPr>
          <w:rFonts w:ascii="Times New Roman" w:cs="Times New Roman" w:eastAsia="Times New Roman" w:hAnsi="Times New Roman"/>
          <w:i/>
          <w:iCs/>
          <w:sz w:val="20"/>
          <w:szCs w:val="20"/>
        </w:rPr>
        <w:t xml:space="preserve">Note. ᵃ Welch-corrected degrees of freedom reported where Levene's test indicated unequal variances (p &lt; .05). * p &lt; .05. ** p &lt; .001.</w:t>
      </w:r>
    </w:p>
    <w:p>
      <w:pPr>
        <w:pStyle w:val="Heading2"/>
        <w:spacing w:after="160" w:before="260"/>
      </w:pPr>
      <w:r>
        <w:rPr>
          <w:rFonts w:ascii="Times New Roman" w:cs="Times New Roman" w:eastAsia="Times New Roman" w:hAnsi="Times New Roman"/>
          <w:b/>
          <w:bCs/>
          <w:i/>
          <w:iCs/>
          <w:color w:val="1F1F1F"/>
          <w:sz w:val="26"/>
          <w:szCs w:val="26"/>
        </w:rPr>
        <w:t xml:space="preserve">4.3 Group Comparisons by Department</w:t>
      </w:r>
    </w:p>
    <w:p>
      <w:pPr>
        <w:spacing w:after="200" w:line="360"/>
        <w:jc w:val="both"/>
      </w:pPr>
      <w:r>
        <w:rPr>
          <w:rFonts w:ascii="Times New Roman" w:cs="Times New Roman" w:eastAsia="Times New Roman" w:hAnsi="Times New Roman"/>
          <w:sz w:val="24"/>
          <w:szCs w:val="24"/>
        </w:rPr>
        <w:t xml:space="preserve">One-way ANOVA indicated a statistically significant, though small, difference in monthly income across departments, F(2, 1467) = 3.20, p = .041, η² = .004, with Sales employees reporting the highest mean income (M = $6,959.17, SD = $4,058.74) and Research &amp; Development the lowest (M = $6,281.25, SD = $4,895.84), as shown in Table 4a. Work–life balance also differed significantly by department, F(2, 1467) = 4.21, p = .015, η² = .006 (Table 4b), with Human Resources reporting the highest mean (M = 2.92, SD = 0.73) and Research &amp; Development the lowest (M = 2.73, SD = 0.72). Job satisfaction did not differ significantly across departments, F(2, 1467) = 0.50, p = .605, η² = .001, nor across the nine job roles, F(8, 1461) = 0.37, p = .939, η² = .002. A summary of all ANOVA results is provided in Table 5.</w:t>
      </w:r>
    </w:p>
    <w:p>
      <w:pPr>
        <w:spacing w:after="100" w:before="160"/>
        <w:jc w:val="left"/>
      </w:pPr>
      <w:r>
        <w:rPr>
          <w:rFonts w:ascii="Times New Roman" w:cs="Times New Roman" w:eastAsia="Times New Roman" w:hAnsi="Times New Roman"/>
          <w:b/>
          <w:bCs/>
          <w:i/>
          <w:iCs/>
          <w:sz w:val="22"/>
          <w:szCs w:val="22"/>
        </w:rPr>
        <w:t xml:space="preserve">Table 4a</w:t>
      </w:r>
    </w:p>
    <w:p>
      <w:pPr>
        <w:spacing w:after="200" w:before="80"/>
      </w:pPr>
      <w:r>
        <w:rPr>
          <w:rFonts w:ascii="Times New Roman" w:cs="Times New Roman" w:eastAsia="Times New Roman" w:hAnsi="Times New Roman"/>
          <w:i/>
          <w:iCs/>
          <w:sz w:val="20"/>
          <w:szCs w:val="20"/>
        </w:rPr>
        <w:t xml:space="preserve">Monthly Income by Department</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2600"/>
        <w:gridCol w:w="900"/>
        <w:gridCol w:w="1200"/>
        <w:gridCol w:w="1000"/>
      </w:tblGrid>
      <w:tr>
        <w:tc>
          <w:tcPr>
            <w:tcW w:type="dxa" w:w="26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Department</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n</w:t>
            </w:r>
          </w:p>
        </w:tc>
        <w:tc>
          <w:tcPr>
            <w:tcW w:type="dxa" w:w="12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w:t>
            </w:r>
          </w:p>
        </w:tc>
        <w:tc>
          <w:tcPr>
            <w:tcW w:type="dxa" w:w="10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SD</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Human Resources</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63</w:t>
            </w:r>
          </w:p>
        </w:tc>
        <w:tc>
          <w:tcPr>
            <w:tcW w:type="dxa" w:w="12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6,654.51</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5,788.73</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Research &amp; Development</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961</w:t>
            </w:r>
          </w:p>
        </w:tc>
        <w:tc>
          <w:tcPr>
            <w:tcW w:type="dxa" w:w="12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6,281.25</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4,895.84</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Sales</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446</w:t>
            </w:r>
          </w:p>
        </w:tc>
        <w:tc>
          <w:tcPr>
            <w:tcW w:type="dxa" w:w="12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6,959.17</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4,058.74</w:t>
            </w:r>
          </w:p>
        </w:tc>
      </w:tr>
    </w:tbl>
    <w:p>
      <w:pPr>
        <w:spacing w:after="100" w:before="160"/>
        <w:jc w:val="left"/>
      </w:pPr>
      <w:r>
        <w:rPr>
          <w:rFonts w:ascii="Times New Roman" w:cs="Times New Roman" w:eastAsia="Times New Roman" w:hAnsi="Times New Roman"/>
          <w:b/>
          <w:bCs/>
          <w:i/>
          <w:iCs/>
          <w:sz w:val="22"/>
          <w:szCs w:val="22"/>
        </w:rPr>
        <w:t xml:space="preserve">Table 4b</w:t>
      </w:r>
    </w:p>
    <w:p>
      <w:pPr>
        <w:spacing w:after="200" w:before="80"/>
      </w:pPr>
      <w:r>
        <w:rPr>
          <w:rFonts w:ascii="Times New Roman" w:cs="Times New Roman" w:eastAsia="Times New Roman" w:hAnsi="Times New Roman"/>
          <w:i/>
          <w:iCs/>
          <w:sz w:val="20"/>
          <w:szCs w:val="20"/>
        </w:rPr>
        <w:t xml:space="preserve">Work–Life Balance by Department</w:t>
      </w:r>
    </w:p>
    <w:tbl>
      <w:tblPr>
        <w:tblW w:type="dxa" w:w="5700"/>
        <w:tblBorders>
          <w:top w:val="single" w:color="auto" w:sz="4"/>
          <w:left w:val="single" w:color="auto" w:sz="4"/>
          <w:bottom w:val="single" w:color="auto" w:sz="4"/>
          <w:right w:val="single" w:color="auto" w:sz="4"/>
          <w:insideH w:val="single" w:color="auto" w:sz="4"/>
          <w:insideV w:val="single" w:color="auto" w:sz="4"/>
        </w:tblBorders>
      </w:tblPr>
      <w:tblGrid>
        <w:gridCol w:w="2600"/>
        <w:gridCol w:w="900"/>
        <w:gridCol w:w="1200"/>
        <w:gridCol w:w="1000"/>
      </w:tblGrid>
      <w:tr>
        <w:tc>
          <w:tcPr>
            <w:tcW w:type="dxa" w:w="26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Department</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n</w:t>
            </w:r>
          </w:p>
        </w:tc>
        <w:tc>
          <w:tcPr>
            <w:tcW w:type="dxa" w:w="12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w:t>
            </w:r>
          </w:p>
        </w:tc>
        <w:tc>
          <w:tcPr>
            <w:tcW w:type="dxa" w:w="10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SD</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Human Resources</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63</w:t>
            </w:r>
          </w:p>
        </w:tc>
        <w:tc>
          <w:tcPr>
            <w:tcW w:type="dxa" w:w="12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2.92</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0.73</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Research &amp; Development</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961</w:t>
            </w:r>
          </w:p>
        </w:tc>
        <w:tc>
          <w:tcPr>
            <w:tcW w:type="dxa" w:w="12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2.73</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0.72</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Sales</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446</w:t>
            </w:r>
          </w:p>
        </w:tc>
        <w:tc>
          <w:tcPr>
            <w:tcW w:type="dxa" w:w="12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2.82</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0.68</w:t>
            </w:r>
          </w:p>
        </w:tc>
      </w:tr>
    </w:tbl>
    <w:p>
      <w:pPr>
        <w:spacing w:after="100" w:before="160"/>
        <w:jc w:val="left"/>
      </w:pPr>
      <w:r>
        <w:rPr>
          <w:rFonts w:ascii="Times New Roman" w:cs="Times New Roman" w:eastAsia="Times New Roman" w:hAnsi="Times New Roman"/>
          <w:b/>
          <w:bCs/>
          <w:i/>
          <w:iCs/>
          <w:sz w:val="22"/>
          <w:szCs w:val="22"/>
        </w:rPr>
        <w:t xml:space="preserve">Table 5</w:t>
      </w:r>
    </w:p>
    <w:p>
      <w:pPr>
        <w:spacing w:after="200" w:before="80"/>
      </w:pPr>
      <w:r>
        <w:rPr>
          <w:rFonts w:ascii="Times New Roman" w:cs="Times New Roman" w:eastAsia="Times New Roman" w:hAnsi="Times New Roman"/>
          <w:i/>
          <w:iCs/>
          <w:sz w:val="20"/>
          <w:szCs w:val="20"/>
        </w:rPr>
        <w:t xml:space="preserve">Summary of One-Way ANOVA Results</w:t>
      </w:r>
    </w:p>
    <w:tbl>
      <w:tblPr>
        <w:tblW w:type="dxa" w:w="8300"/>
        <w:tblBorders>
          <w:top w:val="single" w:color="auto" w:sz="4"/>
          <w:left w:val="single" w:color="auto" w:sz="4"/>
          <w:bottom w:val="single" w:color="auto" w:sz="4"/>
          <w:right w:val="single" w:color="auto" w:sz="4"/>
          <w:insideH w:val="single" w:color="auto" w:sz="4"/>
          <w:insideV w:val="single" w:color="auto" w:sz="4"/>
        </w:tblBorders>
      </w:tblPr>
      <w:tblGrid>
        <w:gridCol w:w="2600"/>
        <w:gridCol w:w="900"/>
        <w:gridCol w:w="900"/>
        <w:gridCol w:w="900"/>
        <w:gridCol w:w="1000"/>
        <w:gridCol w:w="1000"/>
      </w:tblGrid>
      <w:tr>
        <w:tc>
          <w:tcPr>
            <w:tcW w:type="dxa" w:w="26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Dependent Variable</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F</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df₁</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df₂</w:t>
            </w:r>
          </w:p>
        </w:tc>
        <w:tc>
          <w:tcPr>
            <w:tcW w:type="dxa" w:w="10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p</w:t>
            </w:r>
          </w:p>
        </w:tc>
        <w:tc>
          <w:tcPr>
            <w:tcW w:type="dxa" w:w="10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η²</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Monthly Income (by Department)</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3.20</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1467</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.041*</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.004</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Job Satisfaction (by Department)</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0.50</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1467</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.605</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.001</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Work–Life Balance (by Department)</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4.21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1467</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.015*</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.006</w:t>
            </w:r>
          </w:p>
        </w:tc>
      </w:tr>
      <w:tr>
        <w:tc>
          <w:tcPr>
            <w:tcW w:type="dxa" w:w="26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Job Satisfaction (by Job Role)</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0.37</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1461</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.939</w:t>
            </w:r>
          </w:p>
        </w:tc>
        <w:tc>
          <w:tcPr>
            <w:tcW w:type="dxa" w:w="10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.002</w:t>
            </w:r>
          </w:p>
        </w:tc>
      </w:tr>
    </w:tbl>
    <w:p>
      <w:pPr>
        <w:spacing w:after="200" w:before="80"/>
      </w:pPr>
      <w:r>
        <w:rPr>
          <w:rFonts w:ascii="Times New Roman" w:cs="Times New Roman" w:eastAsia="Times New Roman" w:hAnsi="Times New Roman"/>
          <w:i/>
          <w:iCs/>
          <w:sz w:val="20"/>
          <w:szCs w:val="20"/>
        </w:rPr>
        <w:t xml:space="preserve">Note. * p &lt; .05. Eta-squared (η²) values below .01 indicate very small effect sizes by Cohen's (1988) conventions.</w:t>
      </w:r>
    </w:p>
    <w:p>
      <w:pPr>
        <w:pStyle w:val="Heading2"/>
        <w:spacing w:after="160" w:before="260"/>
      </w:pPr>
      <w:r>
        <w:rPr>
          <w:rFonts w:ascii="Times New Roman" w:cs="Times New Roman" w:eastAsia="Times New Roman" w:hAnsi="Times New Roman"/>
          <w:b/>
          <w:bCs/>
          <w:i/>
          <w:iCs/>
          <w:color w:val="1F1F1F"/>
          <w:sz w:val="26"/>
          <w:szCs w:val="26"/>
        </w:rPr>
        <w:t xml:space="preserve">4.4 Group Comparisons by Overtime Status</w:t>
      </w:r>
    </w:p>
    <w:p>
      <w:pPr>
        <w:spacing w:after="200" w:line="360"/>
        <w:jc w:val="both"/>
      </w:pPr>
      <w:r>
        <w:rPr>
          <w:rFonts w:ascii="Times New Roman" w:cs="Times New Roman" w:eastAsia="Times New Roman" w:hAnsi="Times New Roman"/>
          <w:sz w:val="24"/>
          <w:szCs w:val="24"/>
        </w:rPr>
        <w:t xml:space="preserve">Contrary to a common assumption that regularly working overtime erodes job attitudes, employees who worked overtime did not differ significantly from those who did not on job satisfaction, t(1468) = 0.94, p = .347, d = 0.05; work–life balance, t(1468) = -1.04, p = .299, d = -0.06; or monthly income, t(1468) = 0.23, p = .816, d = 0.01 (Table 6). All three effects were negligible in magnitude.</w:t>
      </w:r>
    </w:p>
    <w:p>
      <w:pPr>
        <w:spacing w:after="100" w:before="160"/>
        <w:jc w:val="left"/>
      </w:pPr>
      <w:r>
        <w:rPr>
          <w:rFonts w:ascii="Times New Roman" w:cs="Times New Roman" w:eastAsia="Times New Roman" w:hAnsi="Times New Roman"/>
          <w:b/>
          <w:bCs/>
          <w:i/>
          <w:iCs/>
          <w:sz w:val="22"/>
          <w:szCs w:val="22"/>
        </w:rPr>
        <w:t xml:space="preserve">Table 6</w:t>
      </w:r>
    </w:p>
    <w:p>
      <w:pPr>
        <w:spacing w:after="200" w:before="80"/>
      </w:pPr>
      <w:r>
        <w:rPr>
          <w:rFonts w:ascii="Times New Roman" w:cs="Times New Roman" w:eastAsia="Times New Roman" w:hAnsi="Times New Roman"/>
          <w:i/>
          <w:iCs/>
          <w:sz w:val="20"/>
          <w:szCs w:val="20"/>
        </w:rPr>
        <w:t xml:space="preserve">Independent-Samples t-Tests Comparing Employees Who Worked Overtime vs. Those Who Did Not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2400"/>
        <w:gridCol w:w="900"/>
        <w:gridCol w:w="800"/>
        <w:gridCol w:w="900"/>
        <w:gridCol w:w="800"/>
        <w:gridCol w:w="900"/>
        <w:gridCol w:w="700"/>
        <w:gridCol w:w="900"/>
        <w:gridCol w:w="800"/>
      </w:tblGrid>
      <w:tr>
        <w:tc>
          <w:tcPr>
            <w:tcW w:type="dxa" w:w="24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Variable</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 (OT Yes)</w:t>
            </w:r>
          </w:p>
        </w:tc>
        <w:tc>
          <w:tcPr>
            <w:tcW w:type="dxa" w:w="8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SD</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M (OT No)</w:t>
            </w:r>
          </w:p>
        </w:tc>
        <w:tc>
          <w:tcPr>
            <w:tcW w:type="dxa" w:w="8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SD</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t</w:t>
            </w:r>
          </w:p>
        </w:tc>
        <w:tc>
          <w:tcPr>
            <w:tcW w:type="dxa" w:w="7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df</w:t>
            </w:r>
          </w:p>
        </w:tc>
        <w:tc>
          <w:tcPr>
            <w:tcW w:type="dxa" w:w="9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p</w:t>
            </w:r>
          </w:p>
        </w:tc>
        <w:tc>
          <w:tcPr>
            <w:tcW w:type="dxa" w:w="8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Cohen's d</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Job Satisfaction</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2.77</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1.13</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2.71</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1.09</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0.94</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.347</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0.05</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Work–Life Balance</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2.73</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0.69</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2.77</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0.71</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-1.04</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.299</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-0.06</w:t>
            </w:r>
          </w:p>
        </w:tc>
      </w:tr>
      <w:tr>
        <w:tc>
          <w:tcPr>
            <w:tcW w:type="dxa" w:w="24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Monthly Income</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6,548.55</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4,675.29</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6,484.93</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4,722.88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0.23</w:t>
            </w:r>
          </w:p>
        </w:tc>
        <w:tc>
          <w:tcPr>
            <w:tcW w:type="dxa" w:w="7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1468</w:t>
            </w:r>
          </w:p>
        </w:tc>
        <w:tc>
          <w:tcPr>
            <w:tcW w:type="dxa" w:w="9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.816</w:t>
            </w:r>
          </w:p>
        </w:tc>
        <w:tc>
          <w:tcPr>
            <w:tcW w:type="dxa" w:w="8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0.01</w:t>
            </w:r>
          </w:p>
        </w:tc>
      </w:tr>
    </w:tbl>
    <w:p>
      <w:pPr>
        <w:pStyle w:val="Heading1"/>
        <w:spacing w:after="200" w:before="360"/>
      </w:pPr>
      <w:r>
        <w:rPr>
          <w:rFonts w:ascii="Times New Roman" w:cs="Times New Roman" w:eastAsia="Times New Roman" w:hAnsi="Times New Roman"/>
          <w:b/>
          <w:bCs/>
          <w:color w:val="1F1F1F"/>
          <w:sz w:val="28"/>
          <w:szCs w:val="28"/>
        </w:rPr>
        <w:t xml:space="preserve">5. Discussion</w:t>
      </w:r>
    </w:p>
    <w:p>
      <w:pPr>
        <w:spacing w:after="200" w:line="360"/>
        <w:jc w:val="both"/>
      </w:pPr>
      <w:r>
        <w:rPr>
          <w:rFonts w:ascii="Times New Roman" w:cs="Times New Roman" w:eastAsia="Times New Roman" w:hAnsi="Times New Roman"/>
          <w:sz w:val="24"/>
          <w:szCs w:val="24"/>
        </w:rPr>
        <w:t xml:space="preserve">The pattern of results is broadly consistent with established turnover theory. Employees who left reported lower job satisfaction and environment satisfaction than those who stayed, consistent with the attitudinal pathway to withdrawal described by Mobley (1977) and supported meta-analytically by Griffeth, Hom, and Gaertner (2000). Leavers also had shorter tenure and fewer total working years, consistent with the embeddedness account offered by Mitchell et al. (2001): employees with less accumulated tenure have less to sacrifice by leaving and fewer on-the-job links binding them to the organization. The income gap between leavers and stayers is consistent with compensation functioning as a tangible, easily benchmarked form of that sacrifice.</w:t>
      </w:r>
    </w:p>
    <w:p>
      <w:pPr>
        <w:spacing w:after="200" w:line="360"/>
        <w:jc w:val="both"/>
      </w:pPr>
      <w:r>
        <w:rPr>
          <w:rFonts w:ascii="Times New Roman" w:cs="Times New Roman" w:eastAsia="Times New Roman" w:hAnsi="Times New Roman"/>
          <w:sz w:val="24"/>
          <w:szCs w:val="24"/>
        </w:rPr>
        <w:t xml:space="preserve">The distance-from-home finding is worth flagging as a comparatively underexamined correlate: employees who left lived, on average, roughly 1.7 miles farther from the workplace than those who stayed, a small but statistically reliable effect. This is consistent with a practical friction account of turnover—commute burden functioning as a low-visibility but chronic dissatisfaction source—though the cross-sectional design cannot establish whether distance caused departure or whether departing employees were, for unrelated reasons, more likely to have taken distant roles in the first place.</w:t>
      </w:r>
    </w:p>
    <w:p>
      <w:pPr>
        <w:spacing w:after="200" w:line="360"/>
        <w:jc w:val="both"/>
      </w:pPr>
      <w:r>
        <w:rPr>
          <w:rFonts w:ascii="Times New Roman" w:cs="Times New Roman" w:eastAsia="Times New Roman" w:hAnsi="Times New Roman"/>
          <w:sz w:val="24"/>
          <w:szCs w:val="24"/>
        </w:rPr>
        <w:t xml:space="preserve">The null departmental and role-based findings for job satisfaction are also informative. They suggest that, in this sample, dissatisfaction is not concentrated in a particular organizational subunit, which would argue against narrowly targeted, department-specific retention interventions and in favor of organization-wide attention to compensation and tenure-building practices, where significant (if small) departmental differences did emerge.</w:t>
      </w:r>
    </w:p>
    <w:p>
      <w:pPr>
        <w:pStyle w:val="Heading1"/>
        <w:spacing w:after="200" w:before="360"/>
      </w:pPr>
      <w:r>
        <w:rPr>
          <w:rFonts w:ascii="Times New Roman" w:cs="Times New Roman" w:eastAsia="Times New Roman" w:hAnsi="Times New Roman"/>
          <w:b/>
          <w:bCs/>
          <w:color w:val="1F1F1F"/>
          <w:sz w:val="28"/>
          <w:szCs w:val="28"/>
        </w:rPr>
        <w:t xml:space="preserve">6. Limitations</w:t>
      </w:r>
    </w:p>
    <w:p>
      <w:pPr>
        <w:spacing w:after="200" w:line="360"/>
        <w:jc w:val="both"/>
      </w:pPr>
      <w:r>
        <w:rPr>
          <w:rFonts w:ascii="Times New Roman" w:cs="Times New Roman" w:eastAsia="Times New Roman" w:hAnsi="Times New Roman"/>
          <w:sz w:val="24"/>
          <w:szCs w:val="24"/>
        </w:rPr>
        <w:t xml:space="preserve">Several limitations qualify these findings. First, and most importantly, IBM's own documentation indicates that this dataset was constructed by IBM data scientists for analytics demonstration and training purposes; it should not be interpreted as records drawn from a real, named company's live HR system. It is used here as a legitimate, independently created secondary dataset—consistent with how it has been used in numerous other published and applied HR analytics studies—but any organizational-level conclusions should be understood as illustrative of the analytic method rather than as a diagnosis of a specific real employer.</w:t>
      </w:r>
    </w:p>
    <w:p>
      <w:pPr>
        <w:spacing w:after="200" w:line="360"/>
        <w:jc w:val="both"/>
      </w:pPr>
      <w:r>
        <w:rPr>
          <w:rFonts w:ascii="Times New Roman" w:cs="Times New Roman" w:eastAsia="Times New Roman" w:hAnsi="Times New Roman"/>
          <w:sz w:val="24"/>
          <w:szCs w:val="24"/>
        </w:rPr>
        <w:t xml:space="preserve">Second, the data are cross-sectional, so no causal claims can be drawn from the group differences reported here; a lower income or shorter tenure among leavers is consistent with, but does not establish, a causal role in the decision to leave. Third, the key attitudinal measures (job satisfaction, environment satisfaction, work–life balance) are each single-item, 4-point ordinal scales rather than multi-item validated psychometric instruments, which limits reliability relative to established multi-item measures used in the primary turnover literature. Fourth, the sample is imbalanced with respect to department (65% Research &amp; Development, 4% Human Resources), which may limit the statistical power available to detect true differences involving the Human Resources subgroup specifically. Finally, as with any secondary dataset, the present study could not verify data collection procedures independently and relied on the documentation and prior use of the dataset in the wider research community.</w:t>
      </w:r>
    </w:p>
    <w:p>
      <w:pPr>
        <w:pStyle w:val="Heading1"/>
        <w:spacing w:after="200" w:before="360"/>
      </w:pPr>
      <w:r>
        <w:rPr>
          <w:rFonts w:ascii="Times New Roman" w:cs="Times New Roman" w:eastAsia="Times New Roman" w:hAnsi="Times New Roman"/>
          <w:b/>
          <w:bCs/>
          <w:color w:val="1F1F1F"/>
          <w:sz w:val="28"/>
          <w:szCs w:val="28"/>
        </w:rPr>
        <w:t xml:space="preserve">7. Conclusion</w:t>
      </w:r>
    </w:p>
    <w:p>
      <w:pPr>
        <w:spacing w:after="200" w:line="360"/>
        <w:jc w:val="both"/>
      </w:pPr>
      <w:r>
        <w:rPr>
          <w:rFonts w:ascii="Times New Roman" w:cs="Times New Roman" w:eastAsia="Times New Roman" w:hAnsi="Times New Roman"/>
          <w:sz w:val="24"/>
          <w:szCs w:val="24"/>
        </w:rPr>
        <w:t xml:space="preserve">Using group-comparison analysis of a widely used secondary HR dataset, this study found that employees who left an organization reported significantly lower job satisfaction, environment satisfaction, and work–life balance, earned significantly less, had significantly shorter tenure, and lived significantly farther from the workplace than employees who stayed—findings broadly consistent with established turnover theory. Job satisfaction did not vary significantly by department, job role, or overtime status, suggesting that in this sample, satisfaction-related attrition risk was distributed fairly evenly across the organization rather than concentrated in any one subunit. Future research using longitudinal, multi-item, and organizationally verified data would help establish whether the associations identified here, particularly the distance-from-home effect, reflect genuine causal drivers of turnover or are better explained by other unmeasured factors.</w:t>
      </w:r>
    </w:p>
    <w:p>
      <w:r>
        <w:br w:type="page"/>
      </w:r>
    </w:p>
    <w:p>
      <w:pPr>
        <w:pStyle w:val="Heading1"/>
        <w:spacing w:after="200" w:before="360"/>
      </w:pPr>
      <w:r>
        <w:rPr>
          <w:rFonts w:ascii="Times New Roman" w:cs="Times New Roman" w:eastAsia="Times New Roman" w:hAnsi="Times New Roman"/>
          <w:b/>
          <w:bCs/>
          <w:color w:val="1F1F1F"/>
          <w:sz w:val="28"/>
          <w:szCs w:val="28"/>
        </w:rPr>
        <w:t xml:space="preserve">References</w:t>
      </w:r>
    </w:p>
    <w:p>
      <w:pPr>
        <w:spacing w:after="160" w:line="300"/>
        <w:ind w:left="720" w:hanging="720"/>
      </w:pPr>
      <w:r>
        <w:rPr>
          <w:rFonts w:ascii="Times New Roman" w:cs="Times New Roman" w:eastAsia="Times New Roman" w:hAnsi="Times New Roman"/>
          <w:sz w:val="22"/>
          <w:szCs w:val="22"/>
        </w:rPr>
        <w:t xml:space="preserve">Griffeth, R. W., Hom, P. W., &amp; Gaertner, S. (2000). A meta-analysis of antecedents and correlates of employee turnover: Update, moderator tests, and research implications for the next millennium. Journal of Management, 26(3), 463–488. https://doi.org/10.1177/014920630002600305</w:t>
      </w:r>
    </w:p>
    <w:p>
      <w:pPr>
        <w:spacing w:after="160" w:line="300"/>
        <w:ind w:left="720" w:hanging="720"/>
      </w:pPr>
      <w:r>
        <w:rPr>
          <w:rFonts w:ascii="Times New Roman" w:cs="Times New Roman" w:eastAsia="Times New Roman" w:hAnsi="Times New Roman"/>
          <w:sz w:val="22"/>
          <w:szCs w:val="22"/>
        </w:rPr>
        <w:t xml:space="preserve">IBM. (n.d.). HR employee attrition &amp; performance [Data set]. IBM Watson Analytics Sample Data. Retrieved from public secondary redistribution, 2026.</w:t>
      </w:r>
    </w:p>
    <w:p>
      <w:pPr>
        <w:spacing w:after="160" w:line="300"/>
        <w:ind w:left="720" w:hanging="720"/>
      </w:pPr>
      <w:r>
        <w:rPr>
          <w:rFonts w:ascii="Times New Roman" w:cs="Times New Roman" w:eastAsia="Times New Roman" w:hAnsi="Times New Roman"/>
          <w:sz w:val="22"/>
          <w:szCs w:val="22"/>
        </w:rPr>
        <w:t xml:space="preserve">Mitchell, T. R., Holtom, B. C., Lee, T. W., Sablynski, C. J., &amp; Erez, M. (2001). Why people stay: Using job embeddedness to predict voluntary turnover. Academy of Management Journal, 44(6), 1102–1121. https://doi.org/10.5465/3069391</w:t>
      </w:r>
    </w:p>
    <w:p>
      <w:pPr>
        <w:spacing w:after="160" w:line="300"/>
        <w:ind w:left="720" w:hanging="720"/>
      </w:pPr>
      <w:r>
        <w:rPr>
          <w:rFonts w:ascii="Times New Roman" w:cs="Times New Roman" w:eastAsia="Times New Roman" w:hAnsi="Times New Roman"/>
          <w:sz w:val="22"/>
          <w:szCs w:val="22"/>
        </w:rPr>
        <w:t xml:space="preserve">Mobley, W. H. (1977). Intermediate linkages in the relationship between job satisfaction and employee turnover. Journal of Applied Psychology, 62(2), 237–240. https://doi.org/10.1037/0021-9010.62.2.237</w:t>
      </w:r>
    </w:p>
    <w:p>
      <w:r>
        <w:br w:type="page"/>
      </w:r>
    </w:p>
    <w:p>
      <w:pPr>
        <w:pStyle w:val="Heading1"/>
        <w:spacing w:after="200" w:before="360"/>
      </w:pPr>
      <w:r>
        <w:rPr>
          <w:rFonts w:ascii="Times New Roman" w:cs="Times New Roman" w:eastAsia="Times New Roman" w:hAnsi="Times New Roman"/>
          <w:b/>
          <w:bCs/>
          <w:color w:val="1F1F1F"/>
          <w:sz w:val="28"/>
          <w:szCs w:val="28"/>
        </w:rPr>
        <w:t xml:space="preserve">Appendix A</w:t>
      </w:r>
    </w:p>
    <w:p>
      <w:pPr>
        <w:pStyle w:val="Heading2"/>
        <w:spacing w:after="160" w:before="260"/>
      </w:pPr>
      <w:r>
        <w:rPr>
          <w:rFonts w:ascii="Times New Roman" w:cs="Times New Roman" w:eastAsia="Times New Roman" w:hAnsi="Times New Roman"/>
          <w:b/>
          <w:bCs/>
          <w:i/>
          <w:iCs/>
          <w:color w:val="1F1F1F"/>
          <w:sz w:val="26"/>
          <w:szCs w:val="26"/>
        </w:rPr>
        <w:t xml:space="preserve">Variable Codebook</w:t>
      </w:r>
    </w:p>
    <w:p>
      <w:pPr>
        <w:spacing w:after="200" w:line="360"/>
        <w:jc w:val="both"/>
      </w:pPr>
      <w:r>
        <w:rPr>
          <w:rFonts w:ascii="Times New Roman" w:cs="Times New Roman" w:eastAsia="Times New Roman" w:hAnsi="Times New Roman"/>
          <w:sz w:val="24"/>
          <w:szCs w:val="24"/>
        </w:rPr>
        <w:t xml:space="preserve">Table A1 lists the variables from the IBM HR Analytics dataset used in the present analysis, along with their measurement type and description.</w:t>
      </w:r>
    </w:p>
    <w:p>
      <w:pPr>
        <w:spacing w:after="100" w:before="160"/>
        <w:jc w:val="left"/>
      </w:pPr>
      <w:r>
        <w:rPr>
          <w:rFonts w:ascii="Times New Roman" w:cs="Times New Roman" w:eastAsia="Times New Roman" w:hAnsi="Times New Roman"/>
          <w:b/>
          <w:bCs/>
          <w:i/>
          <w:iCs/>
          <w:sz w:val="22"/>
          <w:szCs w:val="22"/>
        </w:rPr>
        <w:t xml:space="preserve">Table A1</w:t>
      </w:r>
    </w:p>
    <w:p>
      <w:pPr>
        <w:spacing w:after="200" w:before="80"/>
      </w:pPr>
      <w:r>
        <w:rPr>
          <w:rFonts w:ascii="Times New Roman" w:cs="Times New Roman" w:eastAsia="Times New Roman" w:hAnsi="Times New Roman"/>
          <w:i/>
          <w:iCs/>
          <w:sz w:val="20"/>
          <w:szCs w:val="20"/>
        </w:rPr>
        <w:t xml:space="preserve">Variable Codebook</w:t>
      </w:r>
    </w:p>
    <w:tbl>
      <w:tblPr>
        <w:tblW w:type="dxa" w:w="830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4700"/>
      </w:tblGrid>
      <w:tr>
        <w:tc>
          <w:tcPr>
            <w:tcW w:type="dxa" w:w="22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Variable</w:t>
            </w:r>
          </w:p>
        </w:tc>
        <w:tc>
          <w:tcPr>
            <w:tcW w:type="dxa" w:w="1400"/>
            <w:shd w:fill="E8E8E8" w:val="clear"/>
            <w:tcMar>
              <w:top w:type="dxa" w:w="80"/>
              <w:left w:type="dxa" w:w="100"/>
              <w:bottom w:type="dxa" w:w="80"/>
              <w:right w:type="dxa" w:w="100"/>
            </w:tcMar>
            <w:vAlign w:val="center"/>
          </w:tcPr>
          <w:p>
            <w:pPr>
              <w:jc w:val="center"/>
            </w:pPr>
            <w:r>
              <w:rPr>
                <w:rFonts w:ascii="Times New Roman" w:cs="Times New Roman" w:eastAsia="Times New Roman" w:hAnsi="Times New Roman"/>
                <w:b/>
                <w:bCs/>
                <w:sz w:val="20"/>
                <w:szCs w:val="20"/>
              </w:rPr>
              <w:t xml:space="preserve">Type</w:t>
            </w:r>
          </w:p>
        </w:tc>
        <w:tc>
          <w:tcPr>
            <w:tcW w:type="dxa" w:w="4700"/>
            <w:shd w:fill="E8E8E8" w:val="clear"/>
            <w:tcMar>
              <w:top w:type="dxa" w:w="80"/>
              <w:left w:type="dxa" w:w="100"/>
              <w:bottom w:type="dxa" w:w="80"/>
              <w:right w:type="dxa" w:w="100"/>
            </w:tcMar>
            <w:vAlign w:val="center"/>
          </w:tcPr>
          <w:p>
            <w:pPr>
              <w:jc w:val="left"/>
            </w:pPr>
            <w:r>
              <w:rPr>
                <w:rFonts w:ascii="Times New Roman" w:cs="Times New Roman" w:eastAsia="Times New Roman" w:hAnsi="Times New Roman"/>
                <w:b/>
                <w:bCs/>
                <w:sz w:val="20"/>
                <w:szCs w:val="20"/>
              </w:rPr>
              <w:t xml:space="preserve">Description</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Age</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Continuous</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Employee age in years (18–60).</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Attrition</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Categorical</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Whether the employee left the organization (Yes/No).</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Department</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Categorical</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Research &amp; Development, Sales, or Human Resources.</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DistanceFromHome</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Continuous</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Commuting distance in miles.</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EnvironmentSatisfaction</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Ordinal (1–4)</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Self-reported satisfaction with the work environment (1 = Low, 4 = Very High).</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Gender</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Categorical</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Male or Female, as coded in the original dataset.</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JobRole</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Categorical</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One of nine job roles (e.g., Sales Executive, Research Scientist).</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JobSatisfaction</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Ordinal (1–4)</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Self-reported job satisfaction (1 = Low, 4 = Very High).</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MonthlyIncome</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Continuous</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Gross monthly income in US dollars.</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NumCompaniesWorked</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Continuous</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Number of companies the employee has worked for previously.</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OverTime</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Categorical</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Whether the employee regularly works overtime (Yes/No).</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TotalWorkingYears</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Continuous</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Total years of professional work experience.</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WorkLifeBalance</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Ordinal (1–4)</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Self-reported work–life balance (1 = Bad, 4 = Best).</w:t>
            </w:r>
          </w:p>
        </w:tc>
      </w:tr>
      <w:tr>
        <w:tc>
          <w:tcPr>
            <w:tcW w:type="dxa" w:w="22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YearsAtCompany</w:t>
            </w:r>
          </w:p>
        </w:tc>
        <w:tc>
          <w:tcPr>
            <w:tcW w:type="dxa" w:w="1400"/>
            <w:tcMar>
              <w:top w:type="dxa" w:w="80"/>
              <w:left w:type="dxa" w:w="100"/>
              <w:bottom w:type="dxa" w:w="80"/>
              <w:right w:type="dxa" w:w="100"/>
            </w:tcMar>
            <w:vAlign w:val="center"/>
          </w:tcPr>
          <w:p>
            <w:pPr>
              <w:jc w:val="center"/>
            </w:pPr>
            <w:r>
              <w:rPr>
                <w:rFonts w:ascii="Times New Roman" w:cs="Times New Roman" w:eastAsia="Times New Roman" w:hAnsi="Times New Roman"/>
                <w:b w:val="false"/>
                <w:bCs w:val="false"/>
                <w:sz w:val="20"/>
                <w:szCs w:val="20"/>
              </w:rPr>
              <w:t xml:space="preserve">Continuous</w:t>
            </w:r>
          </w:p>
        </w:tc>
        <w:tc>
          <w:tcPr>
            <w:tcW w:type="dxa" w:w="4700"/>
            <w:tcMar>
              <w:top w:type="dxa" w:w="80"/>
              <w:left w:type="dxa" w:w="100"/>
              <w:bottom w:type="dxa" w:w="80"/>
              <w:right w:type="dxa" w:w="100"/>
            </w:tcMar>
            <w:vAlign w:val="center"/>
          </w:tcPr>
          <w:p>
            <w:pPr>
              <w:jc w:val="left"/>
            </w:pPr>
            <w:r>
              <w:rPr>
                <w:rFonts w:ascii="Times New Roman" w:cs="Times New Roman" w:eastAsia="Times New Roman" w:hAnsi="Times New Roman"/>
                <w:b w:val="false"/>
                <w:bCs w:val="false"/>
                <w:sz w:val="20"/>
                <w:szCs w:val="20"/>
              </w:rPr>
              <w:t xml:space="preserve">Tenure with the current employer, in years.</w:t>
            </w:r>
          </w:p>
        </w:tc>
      </w:tr>
    </w:tbl>
    <w:p>
      <w:r>
        <w:br w:type="page"/>
      </w:r>
    </w:p>
    <w:p>
      <w:pPr>
        <w:pStyle w:val="Heading1"/>
        <w:spacing w:after="200" w:before="360"/>
      </w:pPr>
      <w:r>
        <w:rPr>
          <w:rFonts w:ascii="Times New Roman" w:cs="Times New Roman" w:eastAsia="Times New Roman" w:hAnsi="Times New Roman"/>
          <w:b/>
          <w:bCs/>
          <w:color w:val="1F1F1F"/>
          <w:sz w:val="28"/>
          <w:szCs w:val="28"/>
        </w:rPr>
        <w:t xml:space="preserve">Appendix B</w:t>
      </w:r>
    </w:p>
    <w:p>
      <w:pPr>
        <w:pStyle w:val="Heading2"/>
        <w:spacing w:after="160" w:before="260"/>
      </w:pPr>
      <w:r>
        <w:rPr>
          <w:rFonts w:ascii="Times New Roman" w:cs="Times New Roman" w:eastAsia="Times New Roman" w:hAnsi="Times New Roman"/>
          <w:b/>
          <w:bCs/>
          <w:i/>
          <w:iCs/>
          <w:color w:val="1F1F1F"/>
          <w:sz w:val="26"/>
          <w:szCs w:val="26"/>
        </w:rPr>
        <w:t xml:space="preserve">Reproducibility Statement</w:t>
      </w:r>
    </w:p>
    <w:p>
      <w:pPr>
        <w:spacing w:after="200" w:line="360"/>
        <w:jc w:val="both"/>
      </w:pPr>
      <w:r>
        <w:rPr>
          <w:rFonts w:ascii="Times New Roman" w:cs="Times New Roman" w:eastAsia="Times New Roman" w:hAnsi="Times New Roman"/>
          <w:sz w:val="24"/>
          <w:szCs w:val="24"/>
        </w:rPr>
        <w:t xml:space="preserve">All analyses reported in this paper were conducted in Python 3 (pandas, NumPy, SciPy) using standard independent-samples t-test (scipy.stats.ttest_ind, with Levene's test for variance homogeneity) and one-way ANOVA (scipy.stats.f_oneway) procedures, which replicate the corresponding SPSS Analyze &gt; Compare Means routines (Independent-Samples T Test and One-Way ANOVA) and produce statistically equivalent output. Researchers wishing to reproduce these results in SPSS directly may import the original CSV file and run Analyze &gt; Compare Means &gt; Independent-Samples T Test (test variable: the continuous measure; grouping variable: Attrition or OverTime) and Analyze &gt; Compare Means &gt; One-Way ANOVA (dependent list: the continuous measure; factor: Department or JobRole), which will reproduce the F, t, and p values reported in Tables 3 through 6 within expected rounding tolerance.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666666"/>
        <w:sz w:val="16"/>
        <w:szCs w:val="16"/>
      </w:rPr>
      <w:t xml:space="preserve">ATTRITION, SATISFACTION, AND TENURE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2026-09-07T19:44:19.069Z</dcterms:created>
  <dcterms:modified xsi:type="dcterms:W3CDTF">2026-09-07T19:44:19.082Z</dcterms:modified>
</cp:coreProperties>
</file>

<file path=docProps/custom.xml><?xml version="1.0" encoding="utf-8"?>
<Properties xmlns="http://schemas.openxmlformats.org/officeDocument/2006/custom-properties" xmlns:vt="http://schemas.openxmlformats.org/officeDocument/2006/docPropsVTypes"/>
</file>