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pPr>
      <w:r>
        <w:rPr>
          <w:sz w:val="2"/>
          <w:szCs w:val="2"/>
        </w:rPr>
        <w:t xml:space="preserve"/>
      </w:r>
    </w:p>
    <w:p>
      <w:pPr>
        <w:spacing w:after="120"/>
        <w:jc w:val="center"/>
      </w:pPr>
      <w:r>
        <w:rPr>
          <w:rFonts w:ascii="Times New Roman" w:cs="Times New Roman" w:eastAsia="Times New Roman" w:hAnsi="Times New Roman"/>
          <w:b/>
          <w:bCs/>
          <w:sz w:val="34"/>
          <w:szCs w:val="34"/>
        </w:rPr>
        <w:t xml:space="preserve">Beyond Resistance: Reframing Shadow AI Use as a Diagnostic Signal in Organizational Change Management</w:t>
      </w:r>
    </w:p>
    <w:p>
      <w:pPr>
        <w:spacing w:after="2000" w:before="200"/>
        <w:jc w:val="center"/>
      </w:pPr>
      <w:r>
        <w:rPr>
          <w:rFonts w:ascii="Times New Roman" w:cs="Times New Roman" w:eastAsia="Times New Roman" w:hAnsi="Times New Roman"/>
          <w:i/>
          <w:iCs/>
          <w:color w:val="444444"/>
          <w:sz w:val="26"/>
          <w:szCs w:val="26"/>
        </w:rPr>
        <w:t xml:space="preserve">A Conceptual Paper</w:t>
      </w:r>
    </w:p>
    <w:p>
      <w:pPr>
        <w:spacing w:after="80"/>
        <w:jc w:val="center"/>
      </w:pPr>
      <w:r>
        <w:rPr>
          <w:rFonts w:ascii="Times New Roman" w:cs="Times New Roman" w:eastAsia="Times New Roman" w:hAnsi="Times New Roman"/>
          <w:sz w:val="24"/>
          <w:szCs w:val="24"/>
        </w:rPr>
        <w:t xml:space="preserve">[Author Name]</w:t>
      </w:r>
    </w:p>
    <w:p>
      <w:pPr>
        <w:spacing w:after="80"/>
        <w:jc w:val="center"/>
      </w:pPr>
      <w:r>
        <w:rPr>
          <w:rFonts w:ascii="Times New Roman" w:cs="Times New Roman" w:eastAsia="Times New Roman" w:hAnsi="Times New Roman"/>
          <w:sz w:val="24"/>
          <w:szCs w:val="24"/>
        </w:rPr>
        <w:t xml:space="preserve">[Department / Institutional Affiliation]</w:t>
      </w:r>
    </w:p>
    <w:p>
      <w:pPr>
        <w:spacing w:after="80"/>
        <w:jc w:val="center"/>
      </w:pPr>
      <w:r>
        <w:rPr>
          <w:rFonts w:ascii="Times New Roman" w:cs="Times New Roman" w:eastAsia="Times New Roman" w:hAnsi="Times New Roman"/>
          <w:sz w:val="24"/>
          <w:szCs w:val="24"/>
        </w:rPr>
        <w:t xml:space="preserve">[Course / Program, if applicable]</w:t>
      </w:r>
    </w:p>
    <w:p>
      <w:pPr>
        <w:spacing w:after="80"/>
        <w:jc w:val="center"/>
      </w:pPr>
      <w:r>
        <w:rPr>
          <w:rFonts w:ascii="Times New Roman" w:cs="Times New Roman" w:eastAsia="Times New Roman" w:hAnsi="Times New Roman"/>
          <w:sz w:val="24"/>
          <w:szCs w:val="24"/>
        </w:rPr>
        <w:t xml:space="preserve">[Instructor / Supervisor Name]</w:t>
      </w:r>
    </w:p>
    <w:p>
      <w:pPr>
        <w:spacing w:after="2000"/>
        <w:jc w:val="center"/>
      </w:pPr>
      <w:r>
        <w:rPr>
          <w:rFonts w:ascii="Times New Roman" w:cs="Times New Roman" w:eastAsia="Times New Roman" w:hAnsi="Times New Roman"/>
          <w:sz w:val="24"/>
          <w:szCs w:val="24"/>
        </w:rPr>
        <w:t xml:space="preserve">September 2026</w:t>
      </w:r>
    </w:p>
    <w:p>
      <w:pPr>
        <w:spacing w:after="40"/>
        <w:jc w:val="center"/>
      </w:pPr>
      <w:r>
        <w:rPr>
          <w:rFonts w:ascii="Times New Roman" w:cs="Times New Roman" w:eastAsia="Times New Roman" w:hAnsi="Times New Roman"/>
          <w:b/>
          <w:bCs/>
          <w:sz w:val="22"/>
          <w:szCs w:val="22"/>
        </w:rPr>
        <w:t xml:space="preserve">Author Note</w:t>
      </w:r>
    </w:p>
    <w:p>
      <w:pPr>
        <w:spacing w:after="0"/>
        <w:jc w:val="center"/>
      </w:pPr>
      <w:r>
        <w:rPr>
          <w:rFonts w:ascii="Times New Roman" w:cs="Times New Roman" w:eastAsia="Times New Roman" w:hAnsi="Times New Roman"/>
          <w:color w:val="444444"/>
          <w:sz w:val="20"/>
          <w:szCs w:val="20"/>
        </w:rPr>
        <w:t xml:space="preserve">Correspondence concerning this article should be addressed to [Author Name], [Email Address]. The authors declare no conflicts of interest and received no external funding for this work.</w:t>
      </w:r>
    </w:p>
    <w:p>
      <w:r>
        <w:br w:type="page"/>
      </w:r>
    </w:p>
    <w:p>
      <w:pPr>
        <w:pStyle w:val="Heading1"/>
        <w:spacing w:after="200" w:before="360"/>
      </w:pPr>
      <w:r>
        <w:rPr>
          <w:rFonts w:ascii="Times New Roman" w:cs="Times New Roman" w:eastAsia="Times New Roman" w:hAnsi="Times New Roman"/>
          <w:b/>
          <w:bCs/>
          <w:color w:val="1F1F1F"/>
          <w:sz w:val="28"/>
          <w:szCs w:val="28"/>
        </w:rPr>
        <w:t xml:space="preserve">Abstract</w:t>
      </w:r>
    </w:p>
    <w:p>
      <w:pPr>
        <w:spacing w:after="200" w:line="360"/>
        <w:jc w:val="both"/>
      </w:pPr>
      <w:r>
        <w:rPr>
          <w:rFonts w:ascii="Times New Roman" w:cs="Times New Roman" w:eastAsia="Times New Roman" w:hAnsi="Times New Roman"/>
          <w:sz w:val="24"/>
          <w:szCs w:val="24"/>
        </w:rPr>
        <w:t xml:space="preserve">Organizations report widespread employee resistance to artificial intelligence (AI) even as independent workplace surveys show that a majority of employees are already using AI tools daily, often outside official channels. This paper argues that the dominant change-management vocabulary of “resistance” conflates two analytically distinct phenomena: aversion to the technology itself, and aversion to the governance process through which the technology is being introduced. Drawing on the algorithm aversion literature, integrative reviews of AI resistance, and the rapidly growing empirical record on “shadow AI”—unsanctioned employee use of AI tools—this paper develops the Technology–Process Resistance Distinction (TPRD), a conceptual framework that separates these two dimensions and positions shadow AI use as a diagnostic signal of governance failure rather than a simple compliance violation. Five research propositions are advanced to guide future empirical testing. The paper concludes with implications for human resource and change-management practice, including a revised diagnostic approach for change practitioners applying frameworks such as ADKAR and Kotter's eight-step model to AI-related transformation.</w:t>
      </w:r>
    </w:p>
    <w:p>
      <w:pPr>
        <w:spacing w:after="200" w:line="360"/>
        <w:jc w:val="both"/>
      </w:pPr>
      <w:r>
        <w:rPr>
          <w:rFonts w:ascii="Times New Roman" w:cs="Times New Roman" w:eastAsia="Times New Roman" w:hAnsi="Times New Roman"/>
          <w:i/>
          <w:iCs/>
          <w:sz w:val="24"/>
          <w:szCs w:val="24"/>
        </w:rPr>
        <w:t xml:space="preserve">Keywords: artificial intelligence adoption; shadow AI; change management; employee resistance; algorithm aversion; human resource management</w:t>
      </w:r>
    </w:p>
    <w:p>
      <w:pPr>
        <w:pStyle w:val="Heading1"/>
        <w:spacing w:after="200" w:before="360"/>
      </w:pPr>
      <w:r>
        <w:rPr>
          <w:rFonts w:ascii="Times New Roman" w:cs="Times New Roman" w:eastAsia="Times New Roman" w:hAnsi="Times New Roman"/>
          <w:b/>
          <w:bCs/>
          <w:color w:val="1F1F1F"/>
          <w:sz w:val="28"/>
          <w:szCs w:val="28"/>
        </w:rPr>
        <w:t xml:space="preserve">1. Introduction</w:t>
      </w:r>
    </w:p>
    <w:p>
      <w:pPr>
        <w:spacing w:after="200" w:line="360"/>
        <w:jc w:val="both"/>
      </w:pPr>
      <w:r>
        <w:rPr>
          <w:rFonts w:ascii="Times New Roman" w:cs="Times New Roman" w:eastAsia="Times New Roman" w:hAnsi="Times New Roman"/>
          <w:sz w:val="24"/>
          <w:szCs w:val="24"/>
        </w:rPr>
        <w:t xml:space="preserve">Artificial intelligence adoption has become a defining organizational priority, yet the record of implementation is uneven. Executive surveys report that a large majority of AI initiatives fail to reach the outcomes promised at launch, and organizational leaders consistently attribute this gap to employees rather than to the underlying technology (Writer, 2026). This attribution has hardened into a familiar narrative in both trade and academic literature: employees “resist” AI, and change management exists to overcome that resistance.</w:t>
      </w:r>
    </w:p>
    <w:p>
      <w:pPr>
        <w:spacing w:after="200" w:line="360"/>
        <w:jc w:val="both"/>
      </w:pPr>
      <w:r>
        <w:rPr>
          <w:rFonts w:ascii="Times New Roman" w:cs="Times New Roman" w:eastAsia="Times New Roman" w:hAnsi="Times New Roman"/>
          <w:sz w:val="24"/>
          <w:szCs w:val="24"/>
        </w:rPr>
        <w:t xml:space="preserve">That narrative sits uneasily beside a second, equally well-documented body of evidence. Independent research shows that a substantial share of employees are already heavy users of AI in their day-to-day work—but frequently through personal accounts, free-tier tools, or browser extensions that have never been reviewed or approved by their employer. Estimates of this “shadow AI” phenomenon vary by study and methodology, but the direction is consistent: reported usage of unsanctioned AI tools ranges from roughly one-third to nearly all employees surveyed, and a meaningful proportion of these users actively conceal that use from their employer (Adaptive Security, 2026; BlackFog, 2026; SHRM, 2025; Teramind, 2026).</w:t>
      </w:r>
    </w:p>
    <w:p>
      <w:pPr>
        <w:spacing w:after="200" w:line="360"/>
        <w:jc w:val="both"/>
      </w:pPr>
      <w:r>
        <w:rPr>
          <w:rFonts w:ascii="Times New Roman" w:cs="Times New Roman" w:eastAsia="Times New Roman" w:hAnsi="Times New Roman"/>
          <w:sz w:val="24"/>
          <w:szCs w:val="24"/>
        </w:rPr>
        <w:t xml:space="preserve">These two findings are difficult to reconcile under a single construct of “resistance.” An employee who is simultaneously described as AI-resistant in a workplace survey and who privately relies on generative AI tools for the same category of task is not avoiding the technology. What such an employee may be avoiding is the sanctioned, visible pathway through which the organization has asked them to adopt it. This paper argues that the distinction matters, both theoretically and practically, because interventions designed to reduce technology aversion are unlikely to address a governance or trust problem, and vice versa.</w:t>
      </w:r>
    </w:p>
    <w:p>
      <w:pPr>
        <w:spacing w:after="200" w:line="360"/>
        <w:jc w:val="both"/>
      </w:pPr>
      <w:r>
        <w:rPr>
          <w:rFonts w:ascii="Times New Roman" w:cs="Times New Roman" w:eastAsia="Times New Roman" w:hAnsi="Times New Roman"/>
          <w:sz w:val="24"/>
          <w:szCs w:val="24"/>
        </w:rPr>
        <w:t xml:space="preserve">This paper makes three contributions. First, it synthesizes two literatures that have developed largely in parallel—the psychological literature on algorithm aversion and acceptance, and the applied literature on shadow IT/shadow AI—to expose a conceptual gap in how organizational resistance to AI is currently theorized. Second, it introduces the Technology–Process Resistance Distinction (TPRD), a conceptual framework that disaggregates “AI resistance” into two independent dimensions, yielding four employee adoption profiles. Third, it translates this framework into five testable propositions and a set of practical implications for human resource (HR) and change-management practitioners, including a critique of how legacy change models such as Kotter's eight-step process and the ADKAR model measure adoption success.</w:t>
      </w:r>
    </w:p>
    <w:p>
      <w:pPr>
        <w:spacing w:after="200" w:line="360"/>
        <w:jc w:val="both"/>
      </w:pPr>
      <w:r>
        <w:rPr>
          <w:rFonts w:ascii="Times New Roman" w:cs="Times New Roman" w:eastAsia="Times New Roman" w:hAnsi="Times New Roman"/>
          <w:sz w:val="24"/>
          <w:szCs w:val="24"/>
        </w:rPr>
        <w:t xml:space="preserve">The remainder of the paper proceeds as follows. Section 2 reviews the relevant literature on technology and algorithm aversion, traditional change-management models, and the empirical record on shadow AI. Section 3 describes the conceptual, integrative-synthesis approach used to build the framework. Section 4 presents the TPRD framework itself. Section 5 sets out five research propositions. Section 6 discusses implications for practice, and Section 7 addresses limitations and a future research agenda.</w:t>
      </w:r>
    </w:p>
    <w:p>
      <w:pPr>
        <w:pStyle w:val="Heading1"/>
        <w:spacing w:after="200" w:before="360"/>
      </w:pPr>
      <w:r>
        <w:rPr>
          <w:rFonts w:ascii="Times New Roman" w:cs="Times New Roman" w:eastAsia="Times New Roman" w:hAnsi="Times New Roman"/>
          <w:b/>
          <w:bCs/>
          <w:color w:val="1F1F1F"/>
          <w:sz w:val="28"/>
          <w:szCs w:val="28"/>
        </w:rPr>
        <w:t xml:space="preserve">2. Literature Review</w:t>
      </w:r>
    </w:p>
    <w:p>
      <w:pPr>
        <w:pStyle w:val="Heading2"/>
        <w:spacing w:after="160" w:before="260"/>
      </w:pPr>
      <w:r>
        <w:rPr>
          <w:rFonts w:ascii="Times New Roman" w:cs="Times New Roman" w:eastAsia="Times New Roman" w:hAnsi="Times New Roman"/>
          <w:b/>
          <w:bCs/>
          <w:i/>
          <w:iCs/>
          <w:color w:val="1F1F1F"/>
          <w:sz w:val="26"/>
          <w:szCs w:val="26"/>
        </w:rPr>
        <w:t xml:space="preserve">2.1 Technology and Algorithm Aversion</w:t>
      </w:r>
    </w:p>
    <w:p>
      <w:pPr>
        <w:spacing w:after="200" w:line="360"/>
        <w:jc w:val="both"/>
      </w:pPr>
      <w:r>
        <w:rPr>
          <w:rFonts w:ascii="Times New Roman" w:cs="Times New Roman" w:eastAsia="Times New Roman" w:hAnsi="Times New Roman"/>
          <w:sz w:val="24"/>
          <w:szCs w:val="24"/>
        </w:rPr>
        <w:t xml:space="preserve">The psychological roots of resistance to algorithmic tools are well established. Dietvorst, Simmons, and Massey (2015) demonstrated that people are disproportionately likely to abandon an algorithm after observing it make even a single error, a pattern they termed algorithm aversion, and one that persists even when the algorithm continues to outperform human judgment. Subsequent work has shown that this aversion is not universal: people can also display algorithm appreciation, preferring algorithmic judgment to human judgment on certain analytical tasks (Logg, Minson, &amp; Moore, 2019), and the strength of aversion is highly task-dependent, varying with whether the task is perceived as objective and quantifiable or subjective and human-centered (Castelo, Bos, &amp; Lehmann, 2019). A systematic review by Burton, Stein, and Jensen (2020) further shows that the phenomenon is moderated by factors such as the user's prior experience, the visibility of algorithmic errors, and the degree of control the user retains over the final decision—a finding replicated in later work showing that giving users even limited ability to adjust an algorithm's output substantially increases their willingness to rely on it (Dietvorst, Simmons, &amp; Massey, 2018).</w:t>
      </w:r>
    </w:p>
    <w:p>
      <w:pPr>
        <w:spacing w:after="200" w:line="360"/>
        <w:jc w:val="both"/>
      </w:pPr>
      <w:r>
        <w:rPr>
          <w:rFonts w:ascii="Times New Roman" w:cs="Times New Roman" w:eastAsia="Times New Roman" w:hAnsi="Times New Roman"/>
          <w:sz w:val="24"/>
          <w:szCs w:val="24"/>
        </w:rPr>
        <w:t xml:space="preserve">In the organizational and HR context specifically, Golgeci, Ritala, Arslan, McKenna, and Ali (2025) conducted an integrative review that reconceptualizes AI resistance as a three-dimensional construct comprising fear, perceived inefficacy, and antipathy, and propose that resistance is confronted at the individual level and alleviated at the organizational level through mechanisms including AI accessibility, human–AI augmentation, and AI legitimation. Their framework is a useful bridge between the psychological algorithm-aversion literature and organizational practice, but like most of the literature it precedes, it treats resistance as a unidimensional outcome: an employee either engages with AI or does not. A related conceptual study applying a stressor–strain–outcome lens finds that AI tools can simultaneously enhance performance and impose cognitive and psychobehavioral strain on employees, suggesting that apparent disengagement from AI may sometimes reflect an overload response to poorly integrated systems rather than outright rejection of the technology (Benhayoun, 2026). Neither stream, however, directly addresses what happens when employees route around the sanctioned system rather than disengaging from AI altogether.</w:t>
      </w:r>
    </w:p>
    <w:p>
      <w:pPr>
        <w:pStyle w:val="Heading2"/>
        <w:spacing w:after="160" w:before="260"/>
      </w:pPr>
      <w:r>
        <w:rPr>
          <w:rFonts w:ascii="Times New Roman" w:cs="Times New Roman" w:eastAsia="Times New Roman" w:hAnsi="Times New Roman"/>
          <w:b/>
          <w:bCs/>
          <w:i/>
          <w:iCs/>
          <w:color w:val="1F1F1F"/>
          <w:sz w:val="26"/>
          <w:szCs w:val="26"/>
        </w:rPr>
        <w:t xml:space="preserve">2.2 Traditional Change-Management Models and Their Blind Spot</w:t>
      </w:r>
    </w:p>
    <w:p>
      <w:pPr>
        <w:spacing w:after="200" w:line="360"/>
        <w:jc w:val="both"/>
      </w:pPr>
      <w:r>
        <w:rPr>
          <w:rFonts w:ascii="Times New Roman" w:cs="Times New Roman" w:eastAsia="Times New Roman" w:hAnsi="Times New Roman"/>
          <w:sz w:val="24"/>
          <w:szCs w:val="24"/>
        </w:rPr>
        <w:t xml:space="preserve">The two most widely used change-management frameworks in practice are Kotter's eight-step model of organizational change and Prosci's ADKAR model of individual change (Awareness, Desire, Knowledge, Ability, Reinforcement). Kotter's model is top-down and organization-level, emphasizing the creation of urgency, a guiding coalition, and a communicated vision; ADKAR is bottom-up and individual-level, treating adoption as a sequence of psychological and behavioral milestones an employee must pass through (Prosci, 2026). Both models remain foundational, and both have been critiqued on similar grounds: their largely linear, sequential structure does not map well onto continuous, technology-driven change, where iteration, reversal, and simultaneous work across stages is the norm rather than the exception (Bouttell, 2026; Carreno, 2026).</w:t>
      </w:r>
    </w:p>
    <w:p>
      <w:pPr>
        <w:spacing w:after="200" w:line="360"/>
        <w:jc w:val="both"/>
      </w:pPr>
      <w:r>
        <w:rPr>
          <w:rFonts w:ascii="Times New Roman" w:cs="Times New Roman" w:eastAsia="Times New Roman" w:hAnsi="Times New Roman"/>
          <w:sz w:val="24"/>
          <w:szCs w:val="24"/>
        </w:rPr>
        <w:t xml:space="preserve">A less remarked-upon limitation is more directly relevant to this paper. Both frameworks operationalize successful adoption through visible, sanctioned behavior: an employee has progressed through ADKAR's stages, or has been carried along by Kotter's coalition-building, when they are observed using the officially endorsed system. Non-use of the sanctioned tool is read as a stall in the model—resistance to be diagnosed and worked through with more communication, more training, or more reinforcement. Neither framework, in its standard formulation, has a category for an employee who has adopted the underlying capability enthusiastically while declining the specific, sanctioned instantiation of it. This is precisely the pattern that shadow AI research now documents at scale.</w:t>
      </w:r>
    </w:p>
    <w:p>
      <w:pPr>
        <w:pStyle w:val="Heading2"/>
        <w:spacing w:after="160" w:before="260"/>
      </w:pPr>
      <w:r>
        <w:rPr>
          <w:rFonts w:ascii="Times New Roman" w:cs="Times New Roman" w:eastAsia="Times New Roman" w:hAnsi="Times New Roman"/>
          <w:b/>
          <w:bCs/>
          <w:i/>
          <w:iCs/>
          <w:color w:val="1F1F1F"/>
          <w:sz w:val="26"/>
          <w:szCs w:val="26"/>
        </w:rPr>
        <w:t xml:space="preserve">2.3 The Shadow AI Phenomenon</w:t>
      </w:r>
    </w:p>
    <w:p>
      <w:pPr>
        <w:spacing w:after="200" w:line="360"/>
        <w:jc w:val="both"/>
      </w:pPr>
      <w:r>
        <w:rPr>
          <w:rFonts w:ascii="Times New Roman" w:cs="Times New Roman" w:eastAsia="Times New Roman" w:hAnsi="Times New Roman"/>
          <w:sz w:val="24"/>
          <w:szCs w:val="24"/>
        </w:rPr>
        <w:t xml:space="preserve">Shadow AI, a specific subset of the older “shadow IT” category, refers to employee use of AI tools, models, or embedded AI features without formal organizational approval, security review, or governance oversight (Forcepoint, 2026). The empirical picture that has emerged over the past two years is striking in its consistency across independent surveys and vendors. Studies report that AI-driven applications are now among the most common unmanaged software categories inside organizations (SHRM, 2025), that a large majority of organizations show moderate-to-pervasive shadow AI activity while only a minority have real visibility into it (Forcepoint, 2026), and that roughly half of employees or more admit to using AI tools their employer has not approved, with a substantial share concealing that use specifically because they fear it will make them look replaceable or will be viewed unfavorably by management (Adaptive Security, 2026; BlackFog, 2026). Verizon's 2026 Data Breach Investigations Report similarly documents a fourfold year-over-year increase in detected shadow AI activity inside enterprise environments (as reported in Tech Times, 2026).</w:t>
      </w:r>
    </w:p>
    <w:p>
      <w:pPr>
        <w:spacing w:after="200" w:line="360"/>
        <w:jc w:val="both"/>
      </w:pPr>
      <w:r>
        <w:rPr>
          <w:rFonts w:ascii="Times New Roman" w:cs="Times New Roman" w:eastAsia="Times New Roman" w:hAnsi="Times New Roman"/>
          <w:sz w:val="24"/>
          <w:szCs w:val="24"/>
        </w:rPr>
        <w:t xml:space="preserve">Two features of this literature are especially important for the present argument. First, shadow AI is overwhelmingly described by researchers as a rational, convenience-driven response rather than malicious or reckless behavior: employees turn to unsanctioned tools because they perceive them as more capable, more available, or less bureaucratically encumbered than the officially provided alternative (SHRM, 2025; Tech Times, 2026). Second, senior leaders themselves are disproportionately represented among shadow AI users, with several surveys finding that C-suite and senior-director respondents are more likely than junior staff to prioritize speed over sanctioned process (BlackFog, 2026; CIO, 2026). Both findings sit awkwardly with a simple story of rank-and-file technology aversion. What they suggest instead is that the friction lies substantially in the sanctioned adoption pathway—the tool selection process, the approval process, the perceived surveillance associated with officially logged use—rather than in the AI capability itself. This is the gap the present framework is designed to address.</w:t>
      </w:r>
    </w:p>
    <w:p>
      <w:pPr>
        <w:pStyle w:val="Heading1"/>
        <w:spacing w:after="200" w:before="360"/>
      </w:pPr>
      <w:r>
        <w:rPr>
          <w:rFonts w:ascii="Times New Roman" w:cs="Times New Roman" w:eastAsia="Times New Roman" w:hAnsi="Times New Roman"/>
          <w:b/>
          <w:bCs/>
          <w:color w:val="1F1F1F"/>
          <w:sz w:val="28"/>
          <w:szCs w:val="28"/>
        </w:rPr>
        <w:t xml:space="preserve">3. Conceptual Approach</w:t>
      </w:r>
    </w:p>
    <w:p>
      <w:pPr>
        <w:spacing w:after="200" w:line="360"/>
        <w:jc w:val="both"/>
      </w:pPr>
      <w:r>
        <w:rPr>
          <w:rFonts w:ascii="Times New Roman" w:cs="Times New Roman" w:eastAsia="Times New Roman" w:hAnsi="Times New Roman"/>
          <w:sz w:val="24"/>
          <w:szCs w:val="24"/>
        </w:rPr>
        <w:t xml:space="preserve">This paper follows an established conceptual research design used in management and organizational scholarship, in which theory is advanced through integrative literature synthesis and model-building rather than through primary data collection or hypothesis testing (a strategy consistent with recent AI-governance conceptual work; see Skeja &amp; Sadiku-Dushi, 2026). This approach is appropriate for an emerging and fragmented phenomenon such as shadow AI, where empirical study is only beginning to accumulate but where the applied and psychological literatures already contain the building blocks needed for theoretical clarification. The synthesis draws on three bodies of work reviewed above—algorithm aversion and acceptance research, change-management theory, and the applied shadow AI literature—to construct a two-dimensional conceptual framework, from which a set of research propositions is derived for future empirical validation. As a conceptual paper, this work does not report new primary data; its contribution lies in reframing existing, independently documented phenomena under a common analytical structure and generating falsifiable propositions to guide subsequent empirical research.</w:t>
      </w:r>
    </w:p>
    <w:p>
      <w:pPr>
        <w:pStyle w:val="Heading1"/>
        <w:spacing w:after="200" w:before="360"/>
      </w:pPr>
      <w:r>
        <w:rPr>
          <w:rFonts w:ascii="Times New Roman" w:cs="Times New Roman" w:eastAsia="Times New Roman" w:hAnsi="Times New Roman"/>
          <w:b/>
          <w:bCs/>
          <w:color w:val="1F1F1F"/>
          <w:sz w:val="28"/>
          <w:szCs w:val="28"/>
        </w:rPr>
        <w:t xml:space="preserve">4. Findings of the Conceptual Synthesis</w:t>
      </w:r>
    </w:p>
    <w:p>
      <w:pPr>
        <w:spacing w:after="200" w:line="360"/>
        <w:jc w:val="both"/>
      </w:pPr>
      <w:r>
        <w:rPr>
          <w:rFonts w:ascii="Times New Roman" w:cs="Times New Roman" w:eastAsia="Times New Roman" w:hAnsi="Times New Roman"/>
          <w:sz w:val="24"/>
          <w:szCs w:val="24"/>
        </w:rPr>
        <w:t xml:space="preserve">Because this is a conceptual paper, it reports no primary empirical dataset, and this section should not be read as a statistical results section. Its function is the conceptual-paper equivalent: to state clearly what the integrative synthesis in Section 2 establishes, before that synthesis is translated into a formal framework in Section 5. Three findings emerge from the synthesis.</w:t>
      </w:r>
    </w:p>
    <w:p>
      <w:pPr>
        <w:pStyle w:val="Heading2"/>
        <w:spacing w:after="160" w:before="260"/>
      </w:pPr>
      <w:r>
        <w:rPr>
          <w:rFonts w:ascii="Times New Roman" w:cs="Times New Roman" w:eastAsia="Times New Roman" w:hAnsi="Times New Roman"/>
          <w:b/>
          <w:bCs/>
          <w:i/>
          <w:iCs/>
          <w:color w:val="1F1F1F"/>
          <w:sz w:val="26"/>
          <w:szCs w:val="26"/>
        </w:rPr>
        <w:t xml:space="preserve">4.1 Finding 1: The Resistance Construct Is Empirically Overloaded</w:t>
      </w:r>
    </w:p>
    <w:p>
      <w:pPr>
        <w:spacing w:after="200" w:line="360"/>
        <w:jc w:val="both"/>
      </w:pPr>
      <w:r>
        <w:rPr>
          <w:rFonts w:ascii="Times New Roman" w:cs="Times New Roman" w:eastAsia="Times New Roman" w:hAnsi="Times New Roman"/>
          <w:sz w:val="24"/>
          <w:szCs w:val="24"/>
        </w:rPr>
        <w:t xml:space="preserve">Across the algorithm-aversion and AI-resistance literatures, “resistance” is consistently operationalized through a single behavioral proxy: non-use, or reduced use, of the sanctioned AI system (Dietvorst et al., 2015; Golgeci et al., 2025). This proxy is a reasonable choice when no viable unsanctioned alternative exists. It becomes an unreliable proxy once employees have low-friction access to functionally similar tools outside the organization's governance boundary—precisely the condition that shadow AI research shows is now common (Adaptive Security, 2026; Teramind, 2026). The synthesis therefore indicates that the resistance construct, as currently measured in most instruments, is overloaded: it cannot distinguish an employee who dislikes AI from one who dislikes the sanctioned channel to it.</w:t>
      </w:r>
    </w:p>
    <w:p>
      <w:pPr>
        <w:pStyle w:val="Heading2"/>
        <w:spacing w:after="160" w:before="260"/>
      </w:pPr>
      <w:r>
        <w:rPr>
          <w:rFonts w:ascii="Times New Roman" w:cs="Times New Roman" w:eastAsia="Times New Roman" w:hAnsi="Times New Roman"/>
          <w:b/>
          <w:bCs/>
          <w:i/>
          <w:iCs/>
          <w:color w:val="1F1F1F"/>
          <w:sz w:val="26"/>
          <w:szCs w:val="26"/>
        </w:rPr>
        <w:t xml:space="preserve">4.2 Finding 2: A Structural Paradox Exists Across Independent Data Sources</w:t>
      </w:r>
    </w:p>
    <w:p>
      <w:pPr>
        <w:spacing w:after="200" w:line="360"/>
        <w:jc w:val="both"/>
      </w:pPr>
      <w:r>
        <w:rPr>
          <w:rFonts w:ascii="Times New Roman" w:cs="Times New Roman" w:eastAsia="Times New Roman" w:hAnsi="Times New Roman"/>
          <w:sz w:val="24"/>
          <w:szCs w:val="24"/>
        </w:rPr>
        <w:t xml:space="preserve">The synthesis identifies a consistent paradox reproduced across multiple, methodologically independent sources: organizations simultaneously report high employee resistance to sanctioned AI tools and high rates of unsanctioned AI use by the same workforce, with a substantial share of that use actively concealed from management (BlackFog, 2026; SHRM, 2025; Tech Times, 2026). This pattern recurs across security-vendor surveys, HR practitioner research, and industry benchmarking reports that were not designed in coordination with one another, which strengthens confidence that the paradox reflects a real organizational phenomenon rather than an artifact of a single study's methodology. No framework identified in the literature review directly reconciles these two findings within a single construct.</w:t>
      </w:r>
    </w:p>
    <w:p>
      <w:pPr>
        <w:pStyle w:val="Heading2"/>
        <w:spacing w:after="160" w:before="260"/>
      </w:pPr>
      <w:r>
        <w:rPr>
          <w:rFonts w:ascii="Times New Roman" w:cs="Times New Roman" w:eastAsia="Times New Roman" w:hAnsi="Times New Roman"/>
          <w:b/>
          <w:bCs/>
          <w:i/>
          <w:iCs/>
          <w:color w:val="1F1F1F"/>
          <w:sz w:val="26"/>
          <w:szCs w:val="26"/>
        </w:rPr>
        <w:t xml:space="preserve">4.3 Finding 3: Legacy Change Models Lack a Category for This Pattern</w:t>
      </w:r>
    </w:p>
    <w:p>
      <w:pPr>
        <w:spacing w:after="200" w:line="360"/>
        <w:jc w:val="both"/>
      </w:pPr>
      <w:r>
        <w:rPr>
          <w:rFonts w:ascii="Times New Roman" w:cs="Times New Roman" w:eastAsia="Times New Roman" w:hAnsi="Times New Roman"/>
          <w:sz w:val="24"/>
          <w:szCs w:val="24"/>
        </w:rPr>
        <w:t xml:space="preserve">Reviewing Kotter's model and ADKAR against the shadow AI evidence shows that both frameworks' adoption metrics are defined entirely in terms of the sanctioned pathway (Bouttell, 2026; Carreno, 2026; Prosci, 2026). Neither model, as conventionally applied, contains a category for adoption of the underlying capability outside the sanctioned pathway. Practically, this means a change practitioner using either framework has no diagnostic step that would distinguish a Shadow User from an Entrenched Resister—both are simply coded as “not yet adopted.” This finding motivates the two-dimensional framework developed in Section 5.</w:t>
      </w:r>
    </w:p>
    <w:p>
      <w:pPr>
        <w:pStyle w:val="Heading1"/>
        <w:spacing w:after="200" w:before="360"/>
      </w:pPr>
      <w:r>
        <w:rPr>
          <w:rFonts w:ascii="Times New Roman" w:cs="Times New Roman" w:eastAsia="Times New Roman" w:hAnsi="Times New Roman"/>
          <w:b/>
          <w:bCs/>
          <w:color w:val="1F1F1F"/>
          <w:sz w:val="28"/>
          <w:szCs w:val="28"/>
        </w:rPr>
        <w:t xml:space="preserve">5. The Technology–Process Resistance Distinction (TPRD) Framework</w:t>
      </w:r>
    </w:p>
    <w:p>
      <w:pPr>
        <w:spacing w:after="200" w:line="360"/>
        <w:jc w:val="both"/>
      </w:pPr>
      <w:r>
        <w:rPr>
          <w:rFonts w:ascii="Times New Roman" w:cs="Times New Roman" w:eastAsia="Times New Roman" w:hAnsi="Times New Roman"/>
          <w:sz w:val="24"/>
          <w:szCs w:val="24"/>
        </w:rPr>
        <w:t xml:space="preserve">The central claim of this paper is that what is commonly labeled “AI resistance” is better understood as the joint outcome of two independent dimensions.</w:t>
      </w:r>
    </w:p>
    <w:p>
      <w:pPr>
        <w:spacing w:after="200" w:line="360"/>
        <w:jc w:val="both"/>
      </w:pPr>
      <w:r>
        <w:rPr>
          <w:rFonts w:ascii="Times New Roman" w:cs="Times New Roman" w:eastAsia="Times New Roman" w:hAnsi="Times New Roman"/>
          <w:sz w:val="24"/>
          <w:szCs w:val="24"/>
        </w:rPr>
        <w:t xml:space="preserve">Technology Resistance (TR) refers to an employee's aversion to the AI capability itself—rooted in algorithm aversion following observed errors (Dietvorst et al., 2015), perceived threat to skill relevance or job security, or task-specific discomfort with delegating judgment to a system (Castelo et al., 2019). Technology resistance is largely unaffected by who is administering the rollout or how; it is a property of the employee's relationship to the capability.</w:t>
      </w:r>
    </w:p>
    <w:p>
      <w:pPr>
        <w:spacing w:after="200" w:line="360"/>
        <w:jc w:val="both"/>
      </w:pPr>
      <w:r>
        <w:rPr>
          <w:rFonts w:ascii="Times New Roman" w:cs="Times New Roman" w:eastAsia="Times New Roman" w:hAnsi="Times New Roman"/>
          <w:sz w:val="24"/>
          <w:szCs w:val="24"/>
        </w:rPr>
        <w:t xml:space="preserve">Process Resistance (PR) refers to an employee's aversion to the sanctioned adoption pathway through which the organization has asked them to use AI—rooted in low trust in leadership, perceived loss of autonomy, discomfort with being monitored through officially logged tool use, or a change process experienced as opaque or imposed rather than co-designed (consistent with the governance and accountability concerns identified by Skeja &amp; Sadiku-Dushi, 2026). Process resistance is a property of the employee's relationship to the change effort, not to the technology.</w:t>
      </w:r>
    </w:p>
    <w:p>
      <w:pPr>
        <w:spacing w:after="200" w:line="360"/>
        <w:jc w:val="both"/>
      </w:pPr>
      <w:r>
        <w:rPr>
          <w:rFonts w:ascii="Times New Roman" w:cs="Times New Roman" w:eastAsia="Times New Roman" w:hAnsi="Times New Roman"/>
          <w:sz w:val="24"/>
          <w:szCs w:val="24"/>
        </w:rPr>
        <w:t xml:space="preserve">Crossing these two dimensions yields four adoption profiles, summarized in Table 1.</w:t>
      </w:r>
    </w:p>
    <w:p>
      <w:pPr>
        <w:spacing w:after="120" w:before="120"/>
        <w:jc w:val="center"/>
      </w:pPr>
      <w:r>
        <w:rPr>
          <w:rFonts w:ascii="Times New Roman" w:cs="Times New Roman" w:eastAsia="Times New Roman" w:hAnsi="Times New Roman"/>
          <w:b/>
          <w:bCs/>
          <w:sz w:val="22"/>
          <w:szCs w:val="22"/>
        </w:rPr>
        <w:t xml:space="preserve">Table 1. The Technology–Process Resistance Distinction Matrix</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500"/>
        <w:gridCol w:w="2500"/>
        <w:gridCol w:w="2500"/>
        <w:gridCol w:w="2500"/>
      </w:tblGrid>
      <w:tr>
        <w:tc>
          <w:tcPr>
            <w:tcW w:type="dxa" w:w="2500"/>
            <w:tcMar>
              <w:top w:type="dxa" w:w="100"/>
              <w:left w:type="dxa" w:w="120"/>
              <w:bottom w:type="dxa" w:w="100"/>
              <w:right w:type="dxa" w:w="120"/>
            </w:tcMar>
            <w:vAlign w:val="center"/>
          </w:tcPr>
          <w:p>
            <w:pPr>
              <w:jc w:val="center"/>
            </w:pPr>
            <w:r>
              <w:rPr>
                <w:rFonts w:ascii="Times New Roman" w:cs="Times New Roman" w:eastAsia="Times New Roman" w:hAnsi="Times New Roman"/>
                <w:b w:val="false"/>
                <w:bCs w:val="false"/>
                <w:sz w:val="20"/>
                <w:szCs w:val="20"/>
              </w:rPr>
              <w:t xml:space="preserve"/>
            </w:r>
          </w:p>
        </w:tc>
        <w:tc>
          <w:tcPr>
            <w:tcW w:type="dxa" w:w="2500"/>
            <w:tcMar>
              <w:top w:type="dxa" w:w="100"/>
              <w:left w:type="dxa" w:w="120"/>
              <w:bottom w:type="dxa" w:w="100"/>
              <w:right w:type="dxa" w:w="120"/>
            </w:tcMar>
            <w:vAlign w:val="center"/>
          </w:tcPr>
          <w:p>
            <w:pPr>
              <w:jc w:val="center"/>
            </w:pPr>
            <w:r>
              <w:rPr>
                <w:rFonts w:ascii="Times New Roman" w:cs="Times New Roman" w:eastAsia="Times New Roman" w:hAnsi="Times New Roman"/>
                <w:b w:val="false"/>
                <w:bCs w:val="false"/>
                <w:sz w:val="20"/>
                <w:szCs w:val="20"/>
              </w:rPr>
              <w:t xml:space="preserve"/>
            </w:r>
          </w:p>
        </w:tc>
        <w:tc>
          <w:tcPr>
            <w:tcW w:type="dxa" w:w="2500"/>
            <w:shd w:fill="E8E8E8" w:val="clear"/>
            <w:tcMar>
              <w:top w:type="dxa" w:w="100"/>
              <w:left w:type="dxa" w:w="120"/>
              <w:bottom w:type="dxa" w:w="100"/>
              <w:right w:type="dxa" w:w="120"/>
            </w:tcMar>
            <w:vAlign w:val="center"/>
          </w:tcPr>
          <w:p>
            <w:pPr>
              <w:jc w:val="center"/>
            </w:pPr>
            <w:r>
              <w:rPr>
                <w:rFonts w:ascii="Times New Roman" w:cs="Times New Roman" w:eastAsia="Times New Roman" w:hAnsi="Times New Roman"/>
                <w:b/>
                <w:bCs/>
                <w:sz w:val="20"/>
                <w:szCs w:val="20"/>
              </w:rPr>
              <w:t xml:space="preserve">Process Resistance: LOW</w:t>
            </w:r>
          </w:p>
        </w:tc>
        <w:tc>
          <w:tcPr>
            <w:tcW w:type="dxa" w:w="2500"/>
            <w:shd w:fill="E8E8E8" w:val="clear"/>
            <w:tcMar>
              <w:top w:type="dxa" w:w="100"/>
              <w:left w:type="dxa" w:w="120"/>
              <w:bottom w:type="dxa" w:w="100"/>
              <w:right w:type="dxa" w:w="120"/>
            </w:tcMar>
            <w:vAlign w:val="center"/>
          </w:tcPr>
          <w:p>
            <w:pPr>
              <w:jc w:val="center"/>
            </w:pPr>
            <w:r>
              <w:rPr>
                <w:rFonts w:ascii="Times New Roman" w:cs="Times New Roman" w:eastAsia="Times New Roman" w:hAnsi="Times New Roman"/>
                <w:b/>
                <w:bCs/>
                <w:sz w:val="20"/>
                <w:szCs w:val="20"/>
              </w:rPr>
              <w:t xml:space="preserve">Process Resistance: HIGH</w:t>
            </w:r>
          </w:p>
        </w:tc>
      </w:tr>
      <w:tr>
        <w:tc>
          <w:tcPr>
            <w:tcW w:type="dxa" w:w="2500"/>
            <w:tcMar>
              <w:top w:type="dxa" w:w="100"/>
              <w:left w:type="dxa" w:w="120"/>
              <w:bottom w:type="dxa" w:w="100"/>
              <w:right w:type="dxa" w:w="120"/>
            </w:tcMar>
            <w:vAlign w:val="center"/>
          </w:tcPr>
          <w:p>
            <w:pPr>
              <w:jc w:val="center"/>
            </w:pPr>
            <w:r>
              <w:rPr>
                <w:rFonts w:ascii="Times New Roman" w:cs="Times New Roman" w:eastAsia="Times New Roman" w:hAnsi="Times New Roman"/>
                <w:b w:val="false"/>
                <w:bCs w:val="false"/>
                <w:sz w:val="20"/>
                <w:szCs w:val="20"/>
              </w:rPr>
              <w:t xml:space="preserve"/>
            </w:r>
          </w:p>
        </w:tc>
        <w:tc>
          <w:tcPr>
            <w:tcW w:type="dxa" w:w="2500"/>
            <w:shd w:fill="E8E8E8" w:val="clear"/>
            <w:tcMar>
              <w:top w:type="dxa" w:w="100"/>
              <w:left w:type="dxa" w:w="120"/>
              <w:bottom w:type="dxa" w:w="100"/>
              <w:right w:type="dxa" w:w="120"/>
            </w:tcMar>
            <w:vAlign w:val="center"/>
          </w:tcPr>
          <w:p>
            <w:pPr>
              <w:jc w:val="center"/>
            </w:pPr>
            <w:r>
              <w:rPr>
                <w:rFonts w:ascii="Times New Roman" w:cs="Times New Roman" w:eastAsia="Times New Roman" w:hAnsi="Times New Roman"/>
                <w:b/>
                <w:bCs/>
                <w:sz w:val="20"/>
                <w:szCs w:val="20"/>
              </w:rPr>
              <w:t xml:space="preserve">Technology Resistance: LOW</w:t>
            </w:r>
          </w:p>
        </w:tc>
        <w:tc>
          <w:tcPr>
            <w:tcW w:type="dxa" w:w="2500"/>
            <w:tcMar>
              <w:top w:type="dxa" w:w="100"/>
              <w:left w:type="dxa" w:w="120"/>
              <w:bottom w:type="dxa" w:w="100"/>
              <w:right w:type="dxa" w:w="120"/>
            </w:tcMar>
            <w:vAlign w:val="center"/>
          </w:tcPr>
          <w:p>
            <w:pPr>
              <w:jc w:val="center"/>
            </w:pPr>
            <w:r>
              <w:rPr>
                <w:rFonts w:ascii="Times New Roman" w:cs="Times New Roman" w:eastAsia="Times New Roman" w:hAnsi="Times New Roman"/>
                <w:b w:val="false"/>
                <w:bCs w:val="false"/>
                <w:sz w:val="20"/>
                <w:szCs w:val="20"/>
              </w:rPr>
              <w:t xml:space="preserve">Engaged Adopter
(uses sanctioned AI openly and willingly)</w:t>
            </w:r>
          </w:p>
        </w:tc>
        <w:tc>
          <w:tcPr>
            <w:tcW w:type="dxa" w:w="2500"/>
            <w:shd w:fill="FCE8D6" w:val="clear"/>
            <w:tcMar>
              <w:top w:type="dxa" w:w="100"/>
              <w:left w:type="dxa" w:w="120"/>
              <w:bottom w:type="dxa" w:w="100"/>
              <w:right w:type="dxa" w:w="120"/>
            </w:tcMar>
            <w:vAlign w:val="center"/>
          </w:tcPr>
          <w:p>
            <w:pPr>
              <w:jc w:val="center"/>
            </w:pPr>
            <w:r>
              <w:rPr>
                <w:rFonts w:ascii="Times New Roman" w:cs="Times New Roman" w:eastAsia="Times New Roman" w:hAnsi="Times New Roman"/>
                <w:b w:val="false"/>
                <w:bCs w:val="false"/>
                <w:sz w:val="20"/>
                <w:szCs w:val="20"/>
              </w:rPr>
              <w:t xml:space="preserve">Shadow User
(embraces AI capability, rejects official channel)</w:t>
            </w:r>
          </w:p>
        </w:tc>
      </w:tr>
      <w:tr>
        <w:tc>
          <w:tcPr>
            <w:tcW w:type="dxa" w:w="2500"/>
            <w:tcMar>
              <w:top w:type="dxa" w:w="100"/>
              <w:left w:type="dxa" w:w="120"/>
              <w:bottom w:type="dxa" w:w="100"/>
              <w:right w:type="dxa" w:w="120"/>
            </w:tcMar>
            <w:vAlign w:val="center"/>
          </w:tcPr>
          <w:p>
            <w:pPr>
              <w:jc w:val="center"/>
            </w:pPr>
            <w:r>
              <w:rPr>
                <w:rFonts w:ascii="Times New Roman" w:cs="Times New Roman" w:eastAsia="Times New Roman" w:hAnsi="Times New Roman"/>
                <w:b w:val="false"/>
                <w:bCs w:val="false"/>
                <w:sz w:val="20"/>
                <w:szCs w:val="20"/>
              </w:rPr>
              <w:t xml:space="preserve"/>
            </w:r>
          </w:p>
        </w:tc>
        <w:tc>
          <w:tcPr>
            <w:tcW w:type="dxa" w:w="2500"/>
            <w:shd w:fill="E8E8E8" w:val="clear"/>
            <w:tcMar>
              <w:top w:type="dxa" w:w="100"/>
              <w:left w:type="dxa" w:w="120"/>
              <w:bottom w:type="dxa" w:w="100"/>
              <w:right w:type="dxa" w:w="120"/>
            </w:tcMar>
            <w:vAlign w:val="center"/>
          </w:tcPr>
          <w:p>
            <w:pPr>
              <w:jc w:val="center"/>
            </w:pPr>
            <w:r>
              <w:rPr>
                <w:rFonts w:ascii="Times New Roman" w:cs="Times New Roman" w:eastAsia="Times New Roman" w:hAnsi="Times New Roman"/>
                <w:b/>
                <w:bCs/>
                <w:sz w:val="20"/>
                <w:szCs w:val="20"/>
              </w:rPr>
              <w:t xml:space="preserve">Technology Resistance: HIGH</w:t>
            </w:r>
          </w:p>
        </w:tc>
        <w:tc>
          <w:tcPr>
            <w:tcW w:type="dxa" w:w="2500"/>
            <w:tcMar>
              <w:top w:type="dxa" w:w="100"/>
              <w:left w:type="dxa" w:w="120"/>
              <w:bottom w:type="dxa" w:w="100"/>
              <w:right w:type="dxa" w:w="120"/>
            </w:tcMar>
            <w:vAlign w:val="center"/>
          </w:tcPr>
          <w:p>
            <w:pPr>
              <w:jc w:val="center"/>
            </w:pPr>
            <w:r>
              <w:rPr>
                <w:rFonts w:ascii="Times New Roman" w:cs="Times New Roman" w:eastAsia="Times New Roman" w:hAnsi="Times New Roman"/>
                <w:b w:val="false"/>
                <w:bCs w:val="false"/>
                <w:sz w:val="20"/>
                <w:szCs w:val="20"/>
              </w:rPr>
              <w:t xml:space="preserve">Willing but Wary
(complies cautiously, limited discretionary use)</w:t>
            </w:r>
          </w:p>
        </w:tc>
        <w:tc>
          <w:tcPr>
            <w:tcW w:type="dxa" w:w="2500"/>
            <w:tcMar>
              <w:top w:type="dxa" w:w="100"/>
              <w:left w:type="dxa" w:w="120"/>
              <w:bottom w:type="dxa" w:w="100"/>
              <w:right w:type="dxa" w:w="120"/>
            </w:tcMar>
            <w:vAlign w:val="center"/>
          </w:tcPr>
          <w:p>
            <w:pPr>
              <w:jc w:val="center"/>
            </w:pPr>
            <w:r>
              <w:rPr>
                <w:rFonts w:ascii="Times New Roman" w:cs="Times New Roman" w:eastAsia="Times New Roman" w:hAnsi="Times New Roman"/>
                <w:b w:val="false"/>
                <w:bCs w:val="false"/>
                <w:sz w:val="20"/>
                <w:szCs w:val="20"/>
              </w:rPr>
              <w:t xml:space="preserve">Entrenched Resister
(avoids AI and distrusts the change process)</w:t>
            </w:r>
          </w:p>
        </w:tc>
      </w:tr>
    </w:tbl>
    <w:p>
      <w:pPr>
        <w:spacing w:after="0" w:before="200"/>
      </w:pPr>
      <w:r>
        <w:rPr>
          <w:sz w:val="4"/>
          <w:szCs w:val="4"/>
        </w:rPr>
        <w:t xml:space="preserve"/>
      </w:r>
    </w:p>
    <w:p>
      <w:pPr>
        <w:spacing w:after="200" w:line="360"/>
        <w:jc w:val="both"/>
      </w:pPr>
      <w:r>
        <w:rPr>
          <w:rFonts w:ascii="Times New Roman" w:cs="Times New Roman" w:eastAsia="Times New Roman" w:hAnsi="Times New Roman"/>
          <w:sz w:val="24"/>
          <w:szCs w:val="24"/>
        </w:rPr>
        <w:t xml:space="preserve">The Engaged Adopter (low TR, low PR) accepts both the technology and the process and represents the outcome traditional change models are designed to produce. The Willing but Wary employee (high TR, low PR) trusts the organization's process but remains personally uneasy about the technology, and is likely to comply with minimal, cautious use—the profile ADKAR's later stages (Ability, Reinforcement) are best equipped to address. The Entrenched Resister (high TR, high PR) rejects both and is the profile most consistent with the classic, and now arguably outdated, image of the AI-resistant employee.</w:t>
      </w:r>
    </w:p>
    <w:p>
      <w:pPr>
        <w:spacing w:after="200" w:line="360"/>
        <w:jc w:val="both"/>
      </w:pPr>
      <w:r>
        <w:rPr>
          <w:rFonts w:ascii="Times New Roman" w:cs="Times New Roman" w:eastAsia="Times New Roman" w:hAnsi="Times New Roman"/>
          <w:sz w:val="24"/>
          <w:szCs w:val="24"/>
        </w:rPr>
        <w:t xml:space="preserve">The theoretically distinct and practically consequential cell is the Shadow User (low TR, high PR): an employee who has no particular aversion to AI as a capability—indeed, may be an enthusiastic personal user—but who resists the specific, sanctioned channel the organization has built for adopting it. This profile is consistent with, and offers a parsimonious explanation for, the empirical co-occurrence of high reported “resistance” and high shadow AI prevalence documented in Section 2.3. Under a unidimensional resistance construct, this employee is miscategorized as technology-averse and is targeted with interventions—more training, more persuasion about AI's benefits—that address a problem they do not have, while leaving the actual driver of their behavior, process distrust, unaddressed.</w:t>
      </w:r>
    </w:p>
    <w:p>
      <w:pPr>
        <w:pStyle w:val="Heading1"/>
        <w:spacing w:after="200" w:before="360"/>
      </w:pPr>
      <w:r>
        <w:rPr>
          <w:rFonts w:ascii="Times New Roman" w:cs="Times New Roman" w:eastAsia="Times New Roman" w:hAnsi="Times New Roman"/>
          <w:b/>
          <w:bCs/>
          <w:color w:val="1F1F1F"/>
          <w:sz w:val="28"/>
          <w:szCs w:val="28"/>
        </w:rPr>
        <w:t xml:space="preserve">6. Research Propositions</w:t>
      </w:r>
    </w:p>
    <w:p>
      <w:pPr>
        <w:spacing w:after="200" w:line="360"/>
        <w:jc w:val="both"/>
      </w:pPr>
      <w:r>
        <w:rPr>
          <w:rFonts w:ascii="Times New Roman" w:cs="Times New Roman" w:eastAsia="Times New Roman" w:hAnsi="Times New Roman"/>
          <w:sz w:val="24"/>
          <w:szCs w:val="24"/>
        </w:rPr>
        <w:t xml:space="preserve">The TPRD framework generates the following propositions, intended to guide future empirical validation using survey or mixed-methods designs.</w:t>
      </w:r>
    </w:p>
    <w:p>
      <w:pPr>
        <w:spacing w:after="200" w:line="360"/>
        <w:jc w:val="both"/>
      </w:pPr>
      <w:r>
        <w:rPr>
          <w:rFonts w:ascii="Times New Roman" w:cs="Times New Roman" w:eastAsia="Times New Roman" w:hAnsi="Times New Roman"/>
          <w:b/>
          <w:bCs/>
          <w:sz w:val="24"/>
          <w:szCs w:val="24"/>
        </w:rPr>
        <w:t xml:space="preserve">Proposition 1: </w:t>
      </w:r>
      <w:r>
        <w:rPr>
          <w:rFonts w:ascii="Times New Roman" w:cs="Times New Roman" w:eastAsia="Times New Roman" w:hAnsi="Times New Roman"/>
          <w:i/>
          <w:iCs/>
          <w:sz w:val="24"/>
          <w:szCs w:val="24"/>
        </w:rPr>
        <w:t xml:space="preserve">Visible non-use of sanctioned AI tools is not a reliable indicator of technology resistance in organizational contexts where shadow AI prevalence is high.</w:t>
      </w:r>
    </w:p>
    <w:p>
      <w:pPr>
        <w:spacing w:after="200" w:line="360"/>
        <w:jc w:val="both"/>
      </w:pPr>
      <w:r>
        <w:rPr>
          <w:rFonts w:ascii="Times New Roman" w:cs="Times New Roman" w:eastAsia="Times New Roman" w:hAnsi="Times New Roman"/>
          <w:b/>
          <w:bCs/>
          <w:sz w:val="24"/>
          <w:szCs w:val="24"/>
        </w:rPr>
        <w:t xml:space="preserve">Proposition 2: </w:t>
      </w:r>
      <w:r>
        <w:rPr>
          <w:rFonts w:ascii="Times New Roman" w:cs="Times New Roman" w:eastAsia="Times New Roman" w:hAnsi="Times New Roman"/>
          <w:i/>
          <w:iCs/>
          <w:sz w:val="24"/>
          <w:szCs w:val="24"/>
        </w:rPr>
        <w:t xml:space="preserve">Process resistance is more strongly associated with perceived transparency, autonomy, and trust in the AI governance process than with an employee's perceived usefulness of the AI tool itself.</w:t>
      </w:r>
    </w:p>
    <w:p>
      <w:pPr>
        <w:spacing w:after="200" w:line="360"/>
        <w:jc w:val="both"/>
      </w:pPr>
      <w:r>
        <w:rPr>
          <w:rFonts w:ascii="Times New Roman" w:cs="Times New Roman" w:eastAsia="Times New Roman" w:hAnsi="Times New Roman"/>
          <w:b/>
          <w:bCs/>
          <w:sz w:val="24"/>
          <w:szCs w:val="24"/>
        </w:rPr>
        <w:t xml:space="preserve">Proposition 3: </w:t>
      </w:r>
      <w:r>
        <w:rPr>
          <w:rFonts w:ascii="Times New Roman" w:cs="Times New Roman" w:eastAsia="Times New Roman" w:hAnsi="Times New Roman"/>
          <w:i/>
          <w:iCs/>
          <w:sz w:val="24"/>
          <w:szCs w:val="24"/>
        </w:rPr>
        <w:t xml:space="preserve">Frequency of shadow AI use is positively associated with process resistance and negatively associated with technology resistance, net of task type and role seniority.</w:t>
      </w:r>
    </w:p>
    <w:p>
      <w:pPr>
        <w:spacing w:after="200" w:line="360"/>
        <w:jc w:val="both"/>
      </w:pPr>
      <w:r>
        <w:rPr>
          <w:rFonts w:ascii="Times New Roman" w:cs="Times New Roman" w:eastAsia="Times New Roman" w:hAnsi="Times New Roman"/>
          <w:b/>
          <w:bCs/>
          <w:sz w:val="24"/>
          <w:szCs w:val="24"/>
        </w:rPr>
        <w:t xml:space="preserve">Proposition 4: </w:t>
      </w:r>
      <w:r>
        <w:rPr>
          <w:rFonts w:ascii="Times New Roman" w:cs="Times New Roman" w:eastAsia="Times New Roman" w:hAnsi="Times New Roman"/>
          <w:i/>
          <w:iCs/>
          <w:sz w:val="24"/>
          <w:szCs w:val="24"/>
        </w:rPr>
        <w:t xml:space="preserve">Change-management interventions that target technology resistance alone (e.g., persuasive communication about AI capability, skills training) will not reduce shadow AI use among employees whose primary barrier is process resistance.</w:t>
      </w:r>
    </w:p>
    <w:p>
      <w:pPr>
        <w:spacing w:after="200" w:line="360"/>
        <w:jc w:val="both"/>
      </w:pPr>
      <w:r>
        <w:rPr>
          <w:rFonts w:ascii="Times New Roman" w:cs="Times New Roman" w:eastAsia="Times New Roman" w:hAnsi="Times New Roman"/>
          <w:b/>
          <w:bCs/>
          <w:sz w:val="24"/>
          <w:szCs w:val="24"/>
        </w:rPr>
        <w:t xml:space="preserve">Proposition 5: </w:t>
      </w:r>
      <w:r>
        <w:rPr>
          <w:rFonts w:ascii="Times New Roman" w:cs="Times New Roman" w:eastAsia="Times New Roman" w:hAnsi="Times New Roman"/>
          <w:i/>
          <w:iCs/>
          <w:sz w:val="24"/>
          <w:szCs w:val="24"/>
        </w:rPr>
        <w:t xml:space="preserve">Organizations that treat shadow AI usage patterns as a diagnostic input to change strategy, rather than solely as a compliance or security violation, will identify latent adoption readiness that standard resistance surveys underestimate.</w:t>
      </w:r>
    </w:p>
    <w:p>
      <w:pPr>
        <w:pStyle w:val="Heading1"/>
        <w:spacing w:after="200" w:before="360"/>
      </w:pPr>
      <w:r>
        <w:rPr>
          <w:rFonts w:ascii="Times New Roman" w:cs="Times New Roman" w:eastAsia="Times New Roman" w:hAnsi="Times New Roman"/>
          <w:b/>
          <w:bCs/>
          <w:color w:val="1F1F1F"/>
          <w:sz w:val="28"/>
          <w:szCs w:val="28"/>
        </w:rPr>
        <w:t xml:space="preserve">7. Implications for HR and Change-Management Practice</w:t>
      </w:r>
    </w:p>
    <w:p>
      <w:pPr>
        <w:spacing w:after="200" w:line="360"/>
        <w:jc w:val="both"/>
      </w:pPr>
      <w:r>
        <w:rPr>
          <w:rFonts w:ascii="Times New Roman" w:cs="Times New Roman" w:eastAsia="Times New Roman" w:hAnsi="Times New Roman"/>
          <w:sz w:val="24"/>
          <w:szCs w:val="24"/>
        </w:rPr>
        <w:t xml:space="preserve">The TPRD framework carries several practical implications for practitioners applying legacy change models to AI-related transformation. First, diagnostic instruments used at the Awareness/Desire stages of ADKAR, or during Kotter's coalition-building phase, should be redesigned to separate technology-attitude items from process-trust items, rather than aggregating both into a single “readiness for AI” score. Second, security and IT teams already recommend treating shadow AI visibility audits as organizational intelligence rather than purely as a disciplinary exercise (Forcepoint, 2026; Tech Times, 2026); this paper extends that recommendation by arguing HR and change functions should be co-owners of that audit, using it to identify Shadow User populations whose behavior indicates governance friction rather than technology aversion. Third, organizations might consider structured amnesty or migration pathways that invite employees to disclose informal AI workflows without penalty, both to surface unmet tooling needs and to convert existing shadow usage into sanctioned, supported use—addressing process resistance directly rather than repeating technology-focused persuasion campaigns that a Shadow User population does not need. Finally, because senior leaders appear disproportionately represented among shadow AI users in several surveys (BlackFog, 2026; CIO, 2026), change leaders should not assume that hierarchical position is protective against process resistance; governance design, not seniority-based messaging, is the more relevant lever.</w:t>
      </w:r>
    </w:p>
    <w:p>
      <w:pPr>
        <w:pStyle w:val="Heading1"/>
        <w:spacing w:after="200" w:before="360"/>
      </w:pPr>
      <w:r>
        <w:rPr>
          <w:rFonts w:ascii="Times New Roman" w:cs="Times New Roman" w:eastAsia="Times New Roman" w:hAnsi="Times New Roman"/>
          <w:b/>
          <w:bCs/>
          <w:color w:val="1F1F1F"/>
          <w:sz w:val="28"/>
          <w:szCs w:val="28"/>
        </w:rPr>
        <w:t xml:space="preserve">8. Limitations and Future Research Agenda</w:t>
      </w:r>
    </w:p>
    <w:p>
      <w:pPr>
        <w:spacing w:after="200" w:line="360"/>
        <w:jc w:val="both"/>
      </w:pPr>
      <w:r>
        <w:rPr>
          <w:rFonts w:ascii="Times New Roman" w:cs="Times New Roman" w:eastAsia="Times New Roman" w:hAnsi="Times New Roman"/>
          <w:sz w:val="24"/>
          <w:szCs w:val="24"/>
        </w:rPr>
        <w:t xml:space="preserve">As a conceptual paper, the TPRD framework and its propositions have not been empirically tested, and the framework should be treated as a set of falsifiable claims rather than established findings. Future research should prioritize three directions. First, scale development: valid, reliable, and discriminant measures of technology resistance and process resistance are needed before Propositions 1–3 can be tested; existing algorithm-aversion and organizational-trust scales offer a starting point but have not been validated jointly in this context. Second, boundary conditions: the framework should be tested across industries, national cultures, and regulatory environments, given that governance expectations and data-privacy norms shaping process resistance are likely to vary substantially, and given that the underlying survey evidence synthesized here is drawn primarily from Western, large-enterprise contexts. Third, longitudinal design: cross-sectional data cannot establish whether Shadow User behavior is a stable profile or a transitional stage that resolves into either engaged adoption or entrenched resistance over time; panel or diary-based designs would allow researchers to test whether early shadow AI use predicts subsequent sanctioned adoption once governance concerns are addressed, a direct test of Proposition 5.</w:t>
      </w:r>
    </w:p>
    <w:p>
      <w:pPr>
        <w:pStyle w:val="Heading1"/>
        <w:spacing w:after="200" w:before="360"/>
      </w:pPr>
      <w:r>
        <w:rPr>
          <w:rFonts w:ascii="Times New Roman" w:cs="Times New Roman" w:eastAsia="Times New Roman" w:hAnsi="Times New Roman"/>
          <w:b/>
          <w:bCs/>
          <w:color w:val="1F1F1F"/>
          <w:sz w:val="28"/>
          <w:szCs w:val="28"/>
        </w:rPr>
        <w:t xml:space="preserve">9. Conclusion</w:t>
      </w:r>
    </w:p>
    <w:p>
      <w:pPr>
        <w:spacing w:after="200" w:line="360"/>
        <w:jc w:val="both"/>
      </w:pPr>
      <w:r>
        <w:rPr>
          <w:rFonts w:ascii="Times New Roman" w:cs="Times New Roman" w:eastAsia="Times New Roman" w:hAnsi="Times New Roman"/>
          <w:sz w:val="24"/>
          <w:szCs w:val="24"/>
        </w:rPr>
        <w:t xml:space="preserve">The dominant vocabulary of “AI resistance” in organizational practice has not kept pace with what employees are actually doing. A workforce that is simultaneously described as AI-resistant and heavily reliant on unsanctioned AI tools is not avoiding the technology; a meaningful share of it is avoiding the sanctioned pathway to it. The Technology–Process Resistance Distinction offered in this paper provides a parsimonious way to separate these two phenomena, reframes shadow AI use as a diagnostic signal rather than only a compliance risk, and generates a concrete research agenda for testing whether the distinction holds empirically. For change-management practitioners still relying on frameworks built before generative AI existed, the more consequential question this paper raises may not be how to overcome employee resistance to AI, but how to build an adoption process employees do not feel the need to route around.</w:t>
      </w:r>
    </w:p>
    <w:p>
      <w:r>
        <w:br w:type="page"/>
      </w:r>
    </w:p>
    <w:p>
      <w:pPr>
        <w:pStyle w:val="Heading1"/>
        <w:spacing w:after="200" w:before="360"/>
      </w:pPr>
      <w:r>
        <w:rPr>
          <w:rFonts w:ascii="Times New Roman" w:cs="Times New Roman" w:eastAsia="Times New Roman" w:hAnsi="Times New Roman"/>
          <w:b/>
          <w:bCs/>
          <w:color w:val="1F1F1F"/>
          <w:sz w:val="28"/>
          <w:szCs w:val="28"/>
        </w:rPr>
        <w:t xml:space="preserve">References</w:t>
      </w:r>
    </w:p>
    <w:p>
      <w:pPr>
        <w:spacing w:after="160" w:line="300"/>
        <w:ind w:left="720" w:hanging="720"/>
        <w:jc w:val="left"/>
      </w:pPr>
      <w:r>
        <w:rPr>
          <w:rFonts w:ascii="Times New Roman" w:cs="Times New Roman" w:eastAsia="Times New Roman" w:hAnsi="Times New Roman"/>
          <w:sz w:val="22"/>
          <w:szCs w:val="22"/>
        </w:rPr>
        <w:t xml:space="preserve">Adaptive Security. (2026). Unsanctioned AI tools: Hidden risks and how to govern them. Adaptive Security Blog. https://www.adaptivesecurity.com/blog/unsanctioned-ai-tools-what-they-are-the-hidden-risks-they-create-and-how-to-govern-shadow-ai-acr</w:t>
      </w:r>
    </w:p>
    <w:p>
      <w:pPr>
        <w:spacing w:after="160" w:line="300"/>
        <w:ind w:left="720" w:hanging="720"/>
        <w:jc w:val="left"/>
      </w:pPr>
      <w:r>
        <w:rPr>
          <w:rFonts w:ascii="Times New Roman" w:cs="Times New Roman" w:eastAsia="Times New Roman" w:hAnsi="Times New Roman"/>
          <w:sz w:val="22"/>
          <w:szCs w:val="22"/>
        </w:rPr>
        <w:t xml:space="preserve">Benhayoun, L. (2026). From promise to pressure: An employee-focused, context-aware framework of AI adoption balancing performance and cognitive load. Knowledge and Process Management, 33(3), 879–902. https://doi.org/10.1002/kpm.70063</w:t>
      </w:r>
    </w:p>
    <w:p>
      <w:pPr>
        <w:spacing w:after="160" w:line="300"/>
        <w:ind w:left="720" w:hanging="720"/>
        <w:jc w:val="left"/>
      </w:pPr>
      <w:r>
        <w:rPr>
          <w:rFonts w:ascii="Times New Roman" w:cs="Times New Roman" w:eastAsia="Times New Roman" w:hAnsi="Times New Roman"/>
          <w:sz w:val="22"/>
          <w:szCs w:val="22"/>
        </w:rPr>
        <w:t xml:space="preserve">BlackFog. (2026). Shadow AI threat grows inside enterprises as BlackFog research finds 60% of employees would take risks to meet deadlines. BlackFog. https://www.blackfog.com/blackfog-research-shadow-ai-threat-grows/</w:t>
      </w:r>
    </w:p>
    <w:p>
      <w:pPr>
        <w:spacing w:after="160" w:line="300"/>
        <w:ind w:left="720" w:hanging="720"/>
        <w:jc w:val="left"/>
      </w:pPr>
      <w:r>
        <w:rPr>
          <w:rFonts w:ascii="Times New Roman" w:cs="Times New Roman" w:eastAsia="Times New Roman" w:hAnsi="Times New Roman"/>
          <w:sz w:val="22"/>
          <w:szCs w:val="22"/>
        </w:rPr>
        <w:t xml:space="preserve">Bouttell, L. (2026). Leadership of change: Kotter, ADKAR &amp; change management. Quarterdeck. https://quarterdeck.co.uk/articles/leadership-of-change/</w:t>
      </w:r>
    </w:p>
    <w:p>
      <w:pPr>
        <w:spacing w:after="160" w:line="300"/>
        <w:ind w:left="720" w:hanging="720"/>
        <w:jc w:val="left"/>
      </w:pPr>
      <w:r>
        <w:rPr>
          <w:rFonts w:ascii="Times New Roman" w:cs="Times New Roman" w:eastAsia="Times New Roman" w:hAnsi="Times New Roman"/>
          <w:sz w:val="22"/>
          <w:szCs w:val="22"/>
        </w:rPr>
        <w:t xml:space="preserve">Burton, J. W., Stein, M.-K., &amp; Jensen, T. B. (2020). A systematic review of algorithm aversion in augmented decision making. Journal of Behavioral Decision Making, 33(2), 220–239.</w:t>
      </w:r>
    </w:p>
    <w:p>
      <w:pPr>
        <w:spacing w:after="160" w:line="300"/>
        <w:ind w:left="720" w:hanging="720"/>
        <w:jc w:val="left"/>
      </w:pPr>
      <w:r>
        <w:rPr>
          <w:rFonts w:ascii="Times New Roman" w:cs="Times New Roman" w:eastAsia="Times New Roman" w:hAnsi="Times New Roman"/>
          <w:sz w:val="22"/>
          <w:szCs w:val="22"/>
        </w:rPr>
        <w:t xml:space="preserve">Carreno, A. (2026). A critical review of Kotter's change leadership model: Relevance, limitations, and integration with contemporary models. Adolfo Carreno. https://adolfocarreno.com/2025/12/30/a-critical-review-of-kotters-change-leadership-model-relevance-limitations-and-integration-with-contemporary-models/</w:t>
      </w:r>
    </w:p>
    <w:p>
      <w:pPr>
        <w:spacing w:after="160" w:line="300"/>
        <w:ind w:left="720" w:hanging="720"/>
        <w:jc w:val="left"/>
      </w:pPr>
      <w:r>
        <w:rPr>
          <w:rFonts w:ascii="Times New Roman" w:cs="Times New Roman" w:eastAsia="Times New Roman" w:hAnsi="Times New Roman"/>
          <w:sz w:val="22"/>
          <w:szCs w:val="22"/>
        </w:rPr>
        <w:t xml:space="preserve">CIO. (2026, January 30). Roughly half of employees are using unsanctioned AI tools, and enterprise leaders are major culprits. CIO. https://www.cio.com/article/4124760/</w:t>
      </w:r>
    </w:p>
    <w:p>
      <w:pPr>
        <w:spacing w:after="160" w:line="300"/>
        <w:ind w:left="720" w:hanging="720"/>
        <w:jc w:val="left"/>
      </w:pPr>
      <w:r>
        <w:rPr>
          <w:rFonts w:ascii="Times New Roman" w:cs="Times New Roman" w:eastAsia="Times New Roman" w:hAnsi="Times New Roman"/>
          <w:sz w:val="22"/>
          <w:szCs w:val="22"/>
        </w:rPr>
        <w:t xml:space="preserve">Castelo, N., Bos, M. W., &amp; Lehmann, D. R. (2019). Task-dependent algorithm aversion. Journal of Marketing Research, 56(5), 809–825.</w:t>
      </w:r>
    </w:p>
    <w:p>
      <w:pPr>
        <w:spacing w:after="160" w:line="300"/>
        <w:ind w:left="720" w:hanging="720"/>
        <w:jc w:val="left"/>
      </w:pPr>
      <w:r>
        <w:rPr>
          <w:rFonts w:ascii="Times New Roman" w:cs="Times New Roman" w:eastAsia="Times New Roman" w:hAnsi="Times New Roman"/>
          <w:sz w:val="22"/>
          <w:szCs w:val="22"/>
        </w:rPr>
        <w:t xml:space="preserve">Dietvorst, B. J., Simmons, J. P., &amp; Massey, C. (2015). Algorithm aversion: People erroneously avoid algorithms after seeing them err. Journal of Experimental Psychology: General, 144(1), 114–126.</w:t>
      </w:r>
    </w:p>
    <w:p>
      <w:pPr>
        <w:spacing w:after="160" w:line="300"/>
        <w:ind w:left="720" w:hanging="720"/>
        <w:jc w:val="left"/>
      </w:pPr>
      <w:r>
        <w:rPr>
          <w:rFonts w:ascii="Times New Roman" w:cs="Times New Roman" w:eastAsia="Times New Roman" w:hAnsi="Times New Roman"/>
          <w:sz w:val="22"/>
          <w:szCs w:val="22"/>
        </w:rPr>
        <w:t xml:space="preserve">Dietvorst, B. J., Simmons, J. P., &amp; Massey, C. (2018). Overcoming algorithm aversion: People will use imperfect algorithms if they can (even slightly) modify them. Management Science, 64(3), 1155–1170.</w:t>
      </w:r>
    </w:p>
    <w:p>
      <w:pPr>
        <w:spacing w:after="160" w:line="300"/>
        <w:ind w:left="720" w:hanging="720"/>
        <w:jc w:val="left"/>
      </w:pPr>
      <w:r>
        <w:rPr>
          <w:rFonts w:ascii="Times New Roman" w:cs="Times New Roman" w:eastAsia="Times New Roman" w:hAnsi="Times New Roman"/>
          <w:sz w:val="22"/>
          <w:szCs w:val="22"/>
        </w:rPr>
        <w:t xml:space="preserve">Forcepoint. (2026). Shadow AI: The risk already operating in your organization. Forcepoint Blog. https://www.forcepoint.com/blog/insights/what-is-shadow-ai</w:t>
      </w:r>
    </w:p>
    <w:p>
      <w:pPr>
        <w:spacing w:after="160" w:line="300"/>
        <w:ind w:left="720" w:hanging="720"/>
        <w:jc w:val="left"/>
      </w:pPr>
      <w:r>
        <w:rPr>
          <w:rFonts w:ascii="Times New Roman" w:cs="Times New Roman" w:eastAsia="Times New Roman" w:hAnsi="Times New Roman"/>
          <w:sz w:val="22"/>
          <w:szCs w:val="22"/>
        </w:rPr>
        <w:t xml:space="preserve">Golgeci, I., Ritala, P., Arslan, A., McKenna, B., &amp; Ali, I. (2025). Confronting and alleviating AI resistance in the workplace: An integrative review and a process framework. Human Resource Management Review, 35(2), Article 101075. https://doi.org/10.1016/j.hrmr.2024.101075</w:t>
      </w:r>
    </w:p>
    <w:p>
      <w:pPr>
        <w:spacing w:after="160" w:line="300"/>
        <w:ind w:left="720" w:hanging="720"/>
        <w:jc w:val="left"/>
      </w:pPr>
      <w:r>
        <w:rPr>
          <w:rFonts w:ascii="Times New Roman" w:cs="Times New Roman" w:eastAsia="Times New Roman" w:hAnsi="Times New Roman"/>
          <w:sz w:val="22"/>
          <w:szCs w:val="22"/>
        </w:rPr>
        <w:t xml:space="preserve">Logg, J. M., Minson, J. A., &amp; Moore, D. A. (2019). Algorithm appreciation: People prefer algorithmic to human judgment. Organizational Behavior and Human Decision Processes, 151, 90–103.</w:t>
      </w:r>
    </w:p>
    <w:p>
      <w:pPr>
        <w:spacing w:after="160" w:line="300"/>
        <w:ind w:left="720" w:hanging="720"/>
        <w:jc w:val="left"/>
      </w:pPr>
      <w:r>
        <w:rPr>
          <w:rFonts w:ascii="Times New Roman" w:cs="Times New Roman" w:eastAsia="Times New Roman" w:hAnsi="Times New Roman"/>
          <w:sz w:val="22"/>
          <w:szCs w:val="22"/>
        </w:rPr>
        <w:t xml:space="preserve">Prosci. (2026). ADKAR vs Kotter: Which change model should you choose? Prosci Blog. https://www.prosci.com/blog/adkar-vs-kotter</w:t>
      </w:r>
    </w:p>
    <w:p>
      <w:pPr>
        <w:spacing w:after="160" w:line="300"/>
        <w:ind w:left="720" w:hanging="720"/>
        <w:jc w:val="left"/>
      </w:pPr>
      <w:r>
        <w:rPr>
          <w:rFonts w:ascii="Times New Roman" w:cs="Times New Roman" w:eastAsia="Times New Roman" w:hAnsi="Times New Roman"/>
          <w:sz w:val="22"/>
          <w:szCs w:val="22"/>
        </w:rPr>
        <w:t xml:space="preserve">SHRM. (2025). Shadow AI is on the rise: Why it matters to HR. Society for Human Resource Management. https://www.shrm.org/topics-tools/flagships/ai-hi/shadow-ai-on-the-rise</w:t>
      </w:r>
    </w:p>
    <w:p>
      <w:pPr>
        <w:spacing w:after="160" w:line="300"/>
        <w:ind w:left="720" w:hanging="720"/>
        <w:jc w:val="left"/>
      </w:pPr>
      <w:r>
        <w:rPr>
          <w:rFonts w:ascii="Times New Roman" w:cs="Times New Roman" w:eastAsia="Times New Roman" w:hAnsi="Times New Roman"/>
          <w:sz w:val="22"/>
          <w:szCs w:val="22"/>
        </w:rPr>
        <w:t xml:space="preserve">Skeja, A., &amp; Sadiku-Dushi, N. (2026). Toward sustainable AI leadership: Ethical blind spots, accountability gaps and the CARE governance framework. Leadership &amp; Organization Development Journal, 47(2), 336–354. https://doi.org/10.1108/LODJ-06-2025-0530</w:t>
      </w:r>
    </w:p>
    <w:p>
      <w:pPr>
        <w:spacing w:after="160" w:line="300"/>
        <w:ind w:left="720" w:hanging="720"/>
        <w:jc w:val="left"/>
      </w:pPr>
      <w:r>
        <w:rPr>
          <w:rFonts w:ascii="Times New Roman" w:cs="Times New Roman" w:eastAsia="Times New Roman" w:hAnsi="Times New Roman"/>
          <w:sz w:val="22"/>
          <w:szCs w:val="22"/>
        </w:rPr>
        <w:t xml:space="preserve">Tandon, A., et al. (2025). Exploring the duality of perceptions: Insights into uncertainties, aversion and appreciation towards algorithmic HRM. Human Resource Management. https://doi.org/10.1002/hrm.22263</w:t>
      </w:r>
    </w:p>
    <w:p>
      <w:pPr>
        <w:spacing w:after="160" w:line="300"/>
        <w:ind w:left="720" w:hanging="720"/>
        <w:jc w:val="left"/>
      </w:pPr>
      <w:r>
        <w:rPr>
          <w:rFonts w:ascii="Times New Roman" w:cs="Times New Roman" w:eastAsia="Times New Roman" w:hAnsi="Times New Roman"/>
          <w:sz w:val="22"/>
          <w:szCs w:val="22"/>
        </w:rPr>
        <w:t xml:space="preserve">Tech Times. (2026, June 16). Shadow AI cybersecurity risk spikes as 45% of workers use unsanctioned tools. Tech Times. https://www.techtimes.com/articles/318438/20260615/</w:t>
      </w:r>
    </w:p>
    <w:p>
      <w:pPr>
        <w:spacing w:after="160" w:line="300"/>
        <w:ind w:left="720" w:hanging="720"/>
        <w:jc w:val="left"/>
      </w:pPr>
      <w:r>
        <w:rPr>
          <w:rFonts w:ascii="Times New Roman" w:cs="Times New Roman" w:eastAsia="Times New Roman" w:hAnsi="Times New Roman"/>
          <w:sz w:val="22"/>
          <w:szCs w:val="22"/>
        </w:rPr>
        <w:t xml:space="preserve">Teramind. (2026). Shadow AI report 2026. Teramind. https://www.teramind.co/l/shadow-ai-report-2026/</w:t>
      </w:r>
    </w:p>
    <w:p>
      <w:pPr>
        <w:spacing w:after="160" w:line="300"/>
        <w:ind w:left="720" w:hanging="720"/>
        <w:jc w:val="left"/>
      </w:pPr>
      <w:r>
        <w:rPr>
          <w:rFonts w:ascii="Times New Roman" w:cs="Times New Roman" w:eastAsia="Times New Roman" w:hAnsi="Times New Roman"/>
          <w:sz w:val="22"/>
          <w:szCs w:val="22"/>
        </w:rPr>
        <w:t xml:space="preserve">Writer. (2026). Enterprise AI adoption in 2026: Why 79% face challenges despite high investment. Writer Blog. https://writer.com/blog/enterprise-ai-adoption-2026/</w:t>
      </w:r>
    </w:p>
    <w:p>
      <w:r>
        <w:br w:type="page"/>
      </w:r>
    </w:p>
    <w:p>
      <w:pPr>
        <w:pStyle w:val="Heading1"/>
        <w:spacing w:after="200" w:before="360"/>
      </w:pPr>
      <w:r>
        <w:rPr>
          <w:rFonts w:ascii="Times New Roman" w:cs="Times New Roman" w:eastAsia="Times New Roman" w:hAnsi="Times New Roman"/>
          <w:b/>
          <w:bCs/>
          <w:color w:val="1F1F1F"/>
          <w:sz w:val="28"/>
          <w:szCs w:val="28"/>
        </w:rPr>
        <w:t xml:space="preserve">Appendix A</w:t>
      </w:r>
    </w:p>
    <w:p>
      <w:pPr>
        <w:pStyle w:val="Heading2"/>
        <w:spacing w:after="160" w:before="260"/>
      </w:pPr>
      <w:r>
        <w:rPr>
          <w:rFonts w:ascii="Times New Roman" w:cs="Times New Roman" w:eastAsia="Times New Roman" w:hAnsi="Times New Roman"/>
          <w:b/>
          <w:bCs/>
          <w:i/>
          <w:iCs/>
          <w:color w:val="1F1F1F"/>
          <w:sz w:val="26"/>
          <w:szCs w:val="26"/>
        </w:rPr>
        <w:t xml:space="preserve">Proposed Measurement Items for Future Empirical Validation</w:t>
      </w:r>
    </w:p>
    <w:p>
      <w:pPr>
        <w:spacing w:after="200" w:line="360"/>
        <w:jc w:val="both"/>
      </w:pPr>
      <w:r>
        <w:rPr>
          <w:rFonts w:ascii="Times New Roman" w:cs="Times New Roman" w:eastAsia="Times New Roman" w:hAnsi="Times New Roman"/>
          <w:sz w:val="24"/>
          <w:szCs w:val="24"/>
        </w:rPr>
        <w:t xml:space="preserve">The items below are proposed, not validated, instruments intended to operationalize the two TPRD constructs for future survey-based tests of Propositions 1–3. They are offered as a starting point for scale development and should undergo standard psychometric validation (e.g., exploratory and confirmatory factor analysis, reliability testing) before use in empirical research.</w:t>
      </w:r>
    </w:p>
    <w:p>
      <w:pPr>
        <w:spacing w:after="100" w:before="160"/>
      </w:pPr>
      <w:r>
        <w:rPr>
          <w:rFonts w:ascii="Times New Roman" w:cs="Times New Roman" w:eastAsia="Times New Roman" w:hAnsi="Times New Roman"/>
          <w:b/>
          <w:bCs/>
          <w:i/>
          <w:iCs/>
          <w:sz w:val="24"/>
          <w:szCs w:val="24"/>
        </w:rPr>
        <w:t xml:space="preserve">A.1 Technology Resistance (TR) — Proposed Items</w:t>
      </w:r>
    </w:p>
    <w:tbl>
      <w:tblPr>
        <w:tblW w:type="dxa" w:w="7300"/>
        <w:tblBorders>
          <w:top w:val="single" w:color="auto" w:sz="4"/>
          <w:left w:val="single" w:color="auto" w:sz="4"/>
          <w:bottom w:val="single" w:color="auto" w:sz="4"/>
          <w:right w:val="single" w:color="auto" w:sz="4"/>
          <w:insideH w:val="single" w:color="auto" w:sz="4"/>
          <w:insideV w:val="single" w:color="auto" w:sz="4"/>
        </w:tblBorders>
      </w:tblPr>
      <w:tblGrid>
        <w:gridCol w:w="500"/>
        <w:gridCol w:w="6800"/>
      </w:tblGrid>
      <w:tr>
        <w:trPr>
          <w:tblHeader/>
        </w:trPr>
        <w:tc>
          <w:tcPr>
            <w:tcW w:type="dxa" w:w="500"/>
            <w:shd w:fill="E8E8E8" w:val="clear"/>
            <w:tcMar>
              <w:top w:type="dxa" w:w="90"/>
              <w:left w:type="dxa" w:w="110"/>
              <w:bottom w:type="dxa" w:w="90"/>
              <w:right w:type="dxa" w:w="110"/>
            </w:tcMar>
            <w:vAlign w:val="center"/>
          </w:tcPr>
          <w:p>
            <w:pPr>
              <w:jc w:val="center"/>
            </w:pPr>
            <w:r>
              <w:rPr>
                <w:rFonts w:ascii="Times New Roman" w:cs="Times New Roman" w:eastAsia="Times New Roman" w:hAnsi="Times New Roman"/>
                <w:b/>
                <w:bCs/>
                <w:sz w:val="19"/>
                <w:szCs w:val="19"/>
              </w:rPr>
              <w:t xml:space="preserve">#</w:t>
            </w:r>
          </w:p>
        </w:tc>
        <w:tc>
          <w:tcPr>
            <w:tcW w:type="dxa" w:w="6800"/>
            <w:shd w:fill="E8E8E8" w:val="clear"/>
            <w:tcMar>
              <w:top w:type="dxa" w:w="90"/>
              <w:left w:type="dxa" w:w="110"/>
              <w:bottom w:type="dxa" w:w="90"/>
              <w:right w:type="dxa" w:w="110"/>
            </w:tcMar>
            <w:vAlign w:val="center"/>
          </w:tcPr>
          <w:p>
            <w:pPr>
              <w:jc w:val="left"/>
            </w:pPr>
            <w:r>
              <w:rPr>
                <w:rFonts w:ascii="Times New Roman" w:cs="Times New Roman" w:eastAsia="Times New Roman" w:hAnsi="Times New Roman"/>
                <w:b/>
                <w:bCs/>
                <w:sz w:val="19"/>
                <w:szCs w:val="19"/>
              </w:rPr>
              <w:t xml:space="preserve">Proposed Item (5-point Likert: Strongly Disagree–Strongly Agree)</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1</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 am uncomfortable relying on AI-generated output for tasks that affect my performance evaluation.</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2</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Even when an AI tool is accurate, I trust my own judgment more.</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3</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 worry that using AI tools will make my skills less valuable to the organization.</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4</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 have seen an AI tool make a mistake, and it has made me less willing to use it since.</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5</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 would rather complete this type of task manually than delegate it to an AI system.</w:t>
            </w:r>
          </w:p>
        </w:tc>
      </w:tr>
    </w:tbl>
    <w:p>
      <w:pPr>
        <w:spacing w:after="100" w:before="220"/>
      </w:pPr>
      <w:r>
        <w:rPr>
          <w:rFonts w:ascii="Times New Roman" w:cs="Times New Roman" w:eastAsia="Times New Roman" w:hAnsi="Times New Roman"/>
          <w:b/>
          <w:bCs/>
          <w:i/>
          <w:iCs/>
          <w:sz w:val="24"/>
          <w:szCs w:val="24"/>
        </w:rPr>
        <w:t xml:space="preserve">A.2 Process Resistance (PR) — Proposed Items</w:t>
      </w:r>
    </w:p>
    <w:tbl>
      <w:tblPr>
        <w:tblW w:type="dxa" w:w="7300"/>
        <w:tblBorders>
          <w:top w:val="single" w:color="auto" w:sz="4"/>
          <w:left w:val="single" w:color="auto" w:sz="4"/>
          <w:bottom w:val="single" w:color="auto" w:sz="4"/>
          <w:right w:val="single" w:color="auto" w:sz="4"/>
          <w:insideH w:val="single" w:color="auto" w:sz="4"/>
          <w:insideV w:val="single" w:color="auto" w:sz="4"/>
        </w:tblBorders>
      </w:tblPr>
      <w:tblGrid>
        <w:gridCol w:w="500"/>
        <w:gridCol w:w="6800"/>
      </w:tblGrid>
      <w:tr>
        <w:trPr>
          <w:tblHeader/>
        </w:trPr>
        <w:tc>
          <w:tcPr>
            <w:tcW w:type="dxa" w:w="500"/>
            <w:shd w:fill="E8E8E8" w:val="clear"/>
            <w:tcMar>
              <w:top w:type="dxa" w:w="90"/>
              <w:left w:type="dxa" w:w="110"/>
              <w:bottom w:type="dxa" w:w="90"/>
              <w:right w:type="dxa" w:w="110"/>
            </w:tcMar>
            <w:vAlign w:val="center"/>
          </w:tcPr>
          <w:p>
            <w:pPr>
              <w:jc w:val="center"/>
            </w:pPr>
            <w:r>
              <w:rPr>
                <w:rFonts w:ascii="Times New Roman" w:cs="Times New Roman" w:eastAsia="Times New Roman" w:hAnsi="Times New Roman"/>
                <w:b/>
                <w:bCs/>
                <w:sz w:val="19"/>
                <w:szCs w:val="19"/>
              </w:rPr>
              <w:t xml:space="preserve">#</w:t>
            </w:r>
          </w:p>
        </w:tc>
        <w:tc>
          <w:tcPr>
            <w:tcW w:type="dxa" w:w="6800"/>
            <w:shd w:fill="E8E8E8" w:val="clear"/>
            <w:tcMar>
              <w:top w:type="dxa" w:w="90"/>
              <w:left w:type="dxa" w:w="110"/>
              <w:bottom w:type="dxa" w:w="90"/>
              <w:right w:type="dxa" w:w="110"/>
            </w:tcMar>
            <w:vAlign w:val="center"/>
          </w:tcPr>
          <w:p>
            <w:pPr>
              <w:jc w:val="left"/>
            </w:pPr>
            <w:r>
              <w:rPr>
                <w:rFonts w:ascii="Times New Roman" w:cs="Times New Roman" w:eastAsia="Times New Roman" w:hAnsi="Times New Roman"/>
                <w:b/>
                <w:bCs/>
                <w:sz w:val="19"/>
                <w:szCs w:val="19"/>
              </w:rPr>
              <w:t xml:space="preserve">Proposed Item (5-point Likert: Strongly Disagree–Strongly Agree)</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1</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 understand why my organization selected its approved AI tool(s) over other options.</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2</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 trust that my use of the approved AI tool is not being monitored in ways that could be used against me.</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3</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 had a genuine opportunity to give input before the AI rollout was finalized.</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4</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The approval process for using AI tools at my organization is clear and reasonably fast.</w:t>
            </w:r>
          </w:p>
        </w:tc>
      </w:tr>
      <w:tr>
        <w:tc>
          <w:tcPr>
            <w:tcW w:type="dxa" w:w="500"/>
            <w:tcMar>
              <w:top w:type="dxa" w:w="90"/>
              <w:left w:type="dxa" w:w="110"/>
              <w:bottom w:type="dxa" w:w="90"/>
              <w:right w:type="dxa" w:w="110"/>
            </w:tcMar>
            <w:vAlign w:val="center"/>
          </w:tcPr>
          <w:p>
            <w:pPr>
              <w:jc w:val="center"/>
            </w:pPr>
            <w:r>
              <w:rPr>
                <w:rFonts w:ascii="Times New Roman" w:cs="Times New Roman" w:eastAsia="Times New Roman" w:hAnsi="Times New Roman"/>
                <w:b w:val="false"/>
                <w:bCs w:val="false"/>
                <w:sz w:val="19"/>
                <w:szCs w:val="19"/>
              </w:rPr>
              <w:t xml:space="preserve">5</w:t>
            </w:r>
          </w:p>
        </w:tc>
        <w:tc>
          <w:tcPr>
            <w:tcW w:type="dxa" w:w="68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 believe leadership's stated reasons for the AI rollout reflect their real motivations.</w:t>
            </w:r>
          </w:p>
        </w:tc>
      </w:tr>
    </w:tbl>
    <w:p>
      <w:pPr>
        <w:spacing w:after="200" w:line="360"/>
        <w:jc w:val="both"/>
      </w:pPr>
      <w:r>
        <w:rPr>
          <w:rFonts w:ascii="Times New Roman" w:cs="Times New Roman" w:eastAsia="Times New Roman" w:hAnsi="Times New Roman"/>
          <w:i/>
          <w:iCs/>
          <w:sz w:val="24"/>
          <w:szCs w:val="24"/>
        </w:rPr>
        <w:t xml:space="preserve">Suggested scoring approach: each construct is scored as the mean of its five items on a 5-point scale, with respondents classified into the four TPRD quadrants (Table 1) using a median split or, in future validated versions, empirically derived cut points.</w:t>
      </w:r>
    </w:p>
    <w:p>
      <w:r>
        <w:br w:type="page"/>
      </w:r>
    </w:p>
    <w:p>
      <w:pPr>
        <w:pStyle w:val="Heading1"/>
        <w:spacing w:after="200" w:before="360"/>
      </w:pPr>
      <w:r>
        <w:rPr>
          <w:rFonts w:ascii="Times New Roman" w:cs="Times New Roman" w:eastAsia="Times New Roman" w:hAnsi="Times New Roman"/>
          <w:b/>
          <w:bCs/>
          <w:color w:val="1F1F1F"/>
          <w:sz w:val="28"/>
          <w:szCs w:val="28"/>
        </w:rPr>
        <w:t xml:space="preserve">Appendix B</w:t>
      </w:r>
    </w:p>
    <w:p>
      <w:pPr>
        <w:pStyle w:val="Heading2"/>
        <w:spacing w:after="160" w:before="260"/>
      </w:pPr>
      <w:r>
        <w:rPr>
          <w:rFonts w:ascii="Times New Roman" w:cs="Times New Roman" w:eastAsia="Times New Roman" w:hAnsi="Times New Roman"/>
          <w:b/>
          <w:bCs/>
          <w:i/>
          <w:iCs/>
          <w:color w:val="1F1F1F"/>
          <w:sz w:val="26"/>
          <w:szCs w:val="26"/>
        </w:rPr>
        <w:t xml:space="preserve">Literature Synthesis Matrix</w:t>
      </w:r>
    </w:p>
    <w:p>
      <w:pPr>
        <w:spacing w:after="200" w:line="360"/>
        <w:jc w:val="both"/>
      </w:pPr>
      <w:r>
        <w:rPr>
          <w:rFonts w:ascii="Times New Roman" w:cs="Times New Roman" w:eastAsia="Times New Roman" w:hAnsi="Times New Roman"/>
          <w:sz w:val="24"/>
          <w:szCs w:val="24"/>
        </w:rPr>
        <w:t xml:space="preserve">Table B1 summarizes the principal sources underpinning the conceptual synthesis in Section 2, organized by theoretical lens, core contribution, and relevance to the Technology–Process Resistance Distinction (TPRD) framework.</w:t>
      </w:r>
    </w:p>
    <w:p>
      <w:pPr>
        <w:spacing w:after="120" w:before="120"/>
        <w:jc w:val="center"/>
      </w:pPr>
      <w:r>
        <w:rPr>
          <w:rFonts w:ascii="Times New Roman" w:cs="Times New Roman" w:eastAsia="Times New Roman" w:hAnsi="Times New Roman"/>
          <w:b/>
          <w:bCs/>
          <w:sz w:val="22"/>
          <w:szCs w:val="22"/>
        </w:rPr>
        <w:t xml:space="preserve">Table B1. Literature Synthesis Matrix</w:t>
      </w:r>
    </w:p>
    <w:tbl>
      <w:tblPr>
        <w:tblW w:type="dxa" w:w="1060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3600"/>
        <w:gridCol w:w="2200"/>
      </w:tblGrid>
      <w:tr>
        <w:trPr>
          <w:tblHeader/>
        </w:trPr>
        <w:tc>
          <w:tcPr>
            <w:tcW w:type="dxa" w:w="2400"/>
            <w:shd w:fill="E8E8E8" w:val="clear"/>
            <w:tcMar>
              <w:top w:type="dxa" w:w="90"/>
              <w:left w:type="dxa" w:w="110"/>
              <w:bottom w:type="dxa" w:w="90"/>
              <w:right w:type="dxa" w:w="110"/>
            </w:tcMar>
            <w:vAlign w:val="center"/>
          </w:tcPr>
          <w:p>
            <w:pPr>
              <w:jc w:val="left"/>
            </w:pPr>
            <w:r>
              <w:rPr>
                <w:rFonts w:ascii="Times New Roman" w:cs="Times New Roman" w:eastAsia="Times New Roman" w:hAnsi="Times New Roman"/>
                <w:b/>
                <w:bCs/>
                <w:sz w:val="19"/>
                <w:szCs w:val="19"/>
              </w:rPr>
              <w:t xml:space="preserve">Source</w:t>
            </w:r>
          </w:p>
        </w:tc>
        <w:tc>
          <w:tcPr>
            <w:tcW w:type="dxa" w:w="2400"/>
            <w:shd w:fill="E8E8E8" w:val="clear"/>
            <w:tcMar>
              <w:top w:type="dxa" w:w="90"/>
              <w:left w:type="dxa" w:w="110"/>
              <w:bottom w:type="dxa" w:w="90"/>
              <w:right w:type="dxa" w:w="110"/>
            </w:tcMar>
            <w:vAlign w:val="center"/>
          </w:tcPr>
          <w:p>
            <w:pPr>
              <w:jc w:val="left"/>
            </w:pPr>
            <w:r>
              <w:rPr>
                <w:rFonts w:ascii="Times New Roman" w:cs="Times New Roman" w:eastAsia="Times New Roman" w:hAnsi="Times New Roman"/>
                <w:b/>
                <w:bCs/>
                <w:sz w:val="19"/>
                <w:szCs w:val="19"/>
              </w:rPr>
              <w:t xml:space="preserve">Theoretical Lens</w:t>
            </w:r>
          </w:p>
        </w:tc>
        <w:tc>
          <w:tcPr>
            <w:tcW w:type="dxa" w:w="3600"/>
            <w:shd w:fill="E8E8E8" w:val="clear"/>
            <w:tcMar>
              <w:top w:type="dxa" w:w="90"/>
              <w:left w:type="dxa" w:w="110"/>
              <w:bottom w:type="dxa" w:w="90"/>
              <w:right w:type="dxa" w:w="110"/>
            </w:tcMar>
            <w:vAlign w:val="center"/>
          </w:tcPr>
          <w:p>
            <w:pPr>
              <w:jc w:val="left"/>
            </w:pPr>
            <w:r>
              <w:rPr>
                <w:rFonts w:ascii="Times New Roman" w:cs="Times New Roman" w:eastAsia="Times New Roman" w:hAnsi="Times New Roman"/>
                <w:b/>
                <w:bCs/>
                <w:sz w:val="19"/>
                <w:szCs w:val="19"/>
              </w:rPr>
              <w:t xml:space="preserve">Core Contribution</w:t>
            </w:r>
          </w:p>
        </w:tc>
        <w:tc>
          <w:tcPr>
            <w:tcW w:type="dxa" w:w="2200"/>
            <w:shd w:fill="E8E8E8" w:val="clear"/>
            <w:tcMar>
              <w:top w:type="dxa" w:w="90"/>
              <w:left w:type="dxa" w:w="110"/>
              <w:bottom w:type="dxa" w:w="90"/>
              <w:right w:type="dxa" w:w="110"/>
            </w:tcMar>
            <w:vAlign w:val="center"/>
          </w:tcPr>
          <w:p>
            <w:pPr>
              <w:jc w:val="left"/>
            </w:pPr>
            <w:r>
              <w:rPr>
                <w:rFonts w:ascii="Times New Roman" w:cs="Times New Roman" w:eastAsia="Times New Roman" w:hAnsi="Times New Roman"/>
                <w:b/>
                <w:bCs/>
                <w:sz w:val="19"/>
                <w:szCs w:val="19"/>
              </w:rPr>
              <w:t xml:space="preserve">Relevance to TPRD</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Dietvorst, Simmons, &amp; Massey (2015)</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Behavioral decision theory</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Establishes algorithm aversion: users abandon algorithms after observing errors, even when the algorithm outperforms humans.</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Foundational to Technology Resistance (TR)</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Dietvorst, Simmons, &amp; Massey (2018)</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Behavioral decision theory</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Shows aversion is reduced when users retain partial control/adjustment rights over algorithmic output.</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TR is moderated by perceived control</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Logg, Minson, &amp; Moore (2019)</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Judgment and decision-making</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Documents algorithm appreciation as a counter-pattern, showing resistance is not universal.</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TR is task- and context-dependent</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Castelo, Bos, &amp; Lehmann (2019)</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Consumer/organizational behavior</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Shows aversion strength depends on whether the task is perceived as objective or subjective/human-centered.</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Refines TR boundary conditions</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Burton, Stein, &amp; Jensen (2020)</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Systematic review</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Synthesizes moderators of algorithm aversion across the empirical literature.</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Supports multi-factor view of TR</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Golgeci, Ritala, Arslan, McKenna, &amp; Ali (2025)</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Integrative HRM review</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Reconceptualizes AI resistance as fear, inefficacy, and antipathy; proposes organizational alleviation mechanisms.</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Basis for unidimensional resistance construct this paper disaggregates</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Benhayoun (2026)</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Stressor–strain–outcome</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Shows AI can simultaneously enhance performance and impose cognitive/psychobehavioral strain.</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Suggests some apparent TR is workload strain, not aversion</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Bouttell (2026); Carreno (2026)</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Change management critique</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Critique Kotter/ADKAR's linear, top-down structure as poorly suited to continuous, technology-driven change.</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Basis for Process Resistance (PR) construct</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SHRM (2025); BlackFog (2026); Forcepoint (2026); Teramind (2026)</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Applied workforce/security surveys</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Document large-scale, convenience-driven shadow AI use, often concealed from employers.</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Empirical anchor for the TR/PR paradox</w:t>
            </w:r>
          </w:p>
        </w:tc>
      </w:tr>
      <w:tr>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Skeja &amp; Sadiku-Dushi (2026)</w:t>
            </w:r>
          </w:p>
        </w:tc>
        <w:tc>
          <w:tcPr>
            <w:tcW w:type="dxa" w:w="24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AI governance/leadership</w:t>
            </w:r>
          </w:p>
        </w:tc>
        <w:tc>
          <w:tcPr>
            <w:tcW w:type="dxa" w:w="36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Identifies accountability gaps and proposes the CARE governance framework for ethical AI leadership.</w:t>
            </w:r>
          </w:p>
        </w:tc>
        <w:tc>
          <w:tcPr>
            <w:tcW w:type="dxa" w:w="2200"/>
            <w:tcMar>
              <w:top w:type="dxa" w:w="90"/>
              <w:left w:type="dxa" w:w="110"/>
              <w:bottom w:type="dxa" w:w="90"/>
              <w:right w:type="dxa" w:w="110"/>
            </w:tcMar>
            <w:vAlign w:val="center"/>
          </w:tcPr>
          <w:p>
            <w:pPr>
              <w:jc w:val="left"/>
            </w:pPr>
            <w:r>
              <w:rPr>
                <w:rFonts w:ascii="Times New Roman" w:cs="Times New Roman" w:eastAsia="Times New Roman" w:hAnsi="Times New Roman"/>
                <w:b w:val="false"/>
                <w:bCs w:val="false"/>
                <w:sz w:val="19"/>
                <w:szCs w:val="19"/>
              </w:rPr>
              <w:t xml:space="preserve">Basis for governance-trust dimension of PR</w:t>
            </w:r>
          </w:p>
        </w:tc>
      </w:tr>
    </w:tbl>
    <w:p>
      <w:r>
        <w:br w:type="page"/>
      </w:r>
    </w:p>
    <w:p>
      <w:pPr>
        <w:pStyle w:val="Heading1"/>
        <w:spacing w:after="200" w:before="360"/>
      </w:pPr>
      <w:r>
        <w:rPr>
          <w:rFonts w:ascii="Times New Roman" w:cs="Times New Roman" w:eastAsia="Times New Roman" w:hAnsi="Times New Roman"/>
          <w:b/>
          <w:bCs/>
          <w:color w:val="1F1F1F"/>
          <w:sz w:val="28"/>
          <w:szCs w:val="28"/>
        </w:rPr>
        <w:t xml:space="preserve">Appendix C</w:t>
      </w:r>
    </w:p>
    <w:p>
      <w:pPr>
        <w:pStyle w:val="Heading2"/>
        <w:spacing w:after="160" w:before="260"/>
      </w:pPr>
      <w:r>
        <w:rPr>
          <w:rFonts w:ascii="Times New Roman" w:cs="Times New Roman" w:eastAsia="Times New Roman" w:hAnsi="Times New Roman"/>
          <w:b/>
          <w:bCs/>
          <w:i/>
          <w:iCs/>
          <w:color w:val="1F1F1F"/>
          <w:sz w:val="26"/>
          <w:szCs w:val="26"/>
        </w:rPr>
        <w:t xml:space="preserve">Glossary of Key Constructs</w:t>
      </w:r>
    </w:p>
    <w:p>
      <w:pPr>
        <w:spacing w:after="120" w:line="320"/>
        <w:ind w:left="460" w:hanging="260"/>
        <w:jc w:val="both"/>
      </w:pPr>
      <w:r>
        <w:rPr>
          <w:rFonts w:ascii="Times New Roman" w:cs="Times New Roman" w:eastAsia="Times New Roman" w:hAnsi="Times New Roman"/>
          <w:sz w:val="24"/>
          <w:szCs w:val="24"/>
        </w:rPr>
        <w:t xml:space="preserve">•  Algorithm aversion — The tendency to abandon or discount an algorithm's output after observing it make an error, even when the algorithm remains more accurate than human judgment (Dietvorst et al., 2015).</w:t>
      </w:r>
    </w:p>
    <w:p>
      <w:pPr>
        <w:spacing w:after="120" w:line="320"/>
        <w:ind w:left="460" w:hanging="260"/>
        <w:jc w:val="both"/>
      </w:pPr>
      <w:r>
        <w:rPr>
          <w:rFonts w:ascii="Times New Roman" w:cs="Times New Roman" w:eastAsia="Times New Roman" w:hAnsi="Times New Roman"/>
          <w:sz w:val="24"/>
          <w:szCs w:val="24"/>
        </w:rPr>
        <w:t xml:space="preserve">•  Algorithm appreciation — The tendency to prefer algorithmic judgment over human judgment, particularly for objective, quantifiable tasks (Logg et al., 2019).</w:t>
      </w:r>
    </w:p>
    <w:p>
      <w:pPr>
        <w:spacing w:after="120" w:line="320"/>
        <w:ind w:left="460" w:hanging="260"/>
        <w:jc w:val="both"/>
      </w:pPr>
      <w:r>
        <w:rPr>
          <w:rFonts w:ascii="Times New Roman" w:cs="Times New Roman" w:eastAsia="Times New Roman" w:hAnsi="Times New Roman"/>
          <w:sz w:val="24"/>
          <w:szCs w:val="24"/>
        </w:rPr>
        <w:t xml:space="preserve">•  Shadow AI — Employee use of AI tools, models, or embedded AI features without formal organizational approval, security review, or governance oversight (Forcepoint, 2026).</w:t>
      </w:r>
    </w:p>
    <w:p>
      <w:pPr>
        <w:spacing w:after="120" w:line="320"/>
        <w:ind w:left="460" w:hanging="260"/>
        <w:jc w:val="both"/>
      </w:pPr>
      <w:r>
        <w:rPr>
          <w:rFonts w:ascii="Times New Roman" w:cs="Times New Roman" w:eastAsia="Times New Roman" w:hAnsi="Times New Roman"/>
          <w:sz w:val="24"/>
          <w:szCs w:val="24"/>
        </w:rPr>
        <w:t xml:space="preserve">•  Technology Resistance (TR) — As defined in this paper, an employee's aversion to the AI capability itself, independent of how it is being rolled out.</w:t>
      </w:r>
    </w:p>
    <w:p>
      <w:pPr>
        <w:spacing w:after="120" w:line="320"/>
        <w:ind w:left="460" w:hanging="260"/>
        <w:jc w:val="both"/>
      </w:pPr>
      <w:r>
        <w:rPr>
          <w:rFonts w:ascii="Times New Roman" w:cs="Times New Roman" w:eastAsia="Times New Roman" w:hAnsi="Times New Roman"/>
          <w:sz w:val="24"/>
          <w:szCs w:val="24"/>
        </w:rPr>
        <w:t xml:space="preserve">•  Process Resistance (PR) — As defined in this paper, an employee's aversion to the sanctioned governance pathway through which AI adoption is being introduced, independent of their attitude toward the technology itself.</w:t>
      </w:r>
    </w:p>
    <w:p>
      <w:pPr>
        <w:spacing w:after="120" w:line="320"/>
        <w:ind w:left="460" w:hanging="260"/>
        <w:jc w:val="both"/>
      </w:pPr>
      <w:r>
        <w:rPr>
          <w:rFonts w:ascii="Times New Roman" w:cs="Times New Roman" w:eastAsia="Times New Roman" w:hAnsi="Times New Roman"/>
          <w:sz w:val="24"/>
          <w:szCs w:val="24"/>
        </w:rPr>
        <w:t xml:space="preserve">•  Shadow User — The TPRD profile describing an employee with low technology resistance but high process resistance: someone who embraces the AI capability but avoids the official, sanctioned channel for using it.</w:t>
      </w:r>
    </w:p>
    <w:p>
      <w:pPr>
        <w:spacing w:after="120" w:line="320"/>
        <w:ind w:left="460" w:hanging="260"/>
        <w:jc w:val="both"/>
      </w:pPr>
      <w:r>
        <w:rPr>
          <w:rFonts w:ascii="Times New Roman" w:cs="Times New Roman" w:eastAsia="Times New Roman" w:hAnsi="Times New Roman"/>
          <w:sz w:val="24"/>
          <w:szCs w:val="24"/>
        </w:rPr>
        <w:t xml:space="preserve">•  Entrenched Resister — The TPRD profile describing an employee with both high technology resistance and high process resistance.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666666"/>
        <w:sz w:val="16"/>
        <w:szCs w:val="16"/>
      </w:rPr>
      <w:t xml:space="preserve">SHADOW AI AS A DIAGNOSTIC SIGNAL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2026-09-03T14:47:12.879Z</dcterms:created>
  <dcterms:modified xsi:type="dcterms:W3CDTF">2026-09-03T14:47:12.892Z</dcterms:modified>
</cp:coreProperties>
</file>

<file path=docProps/custom.xml><?xml version="1.0" encoding="utf-8"?>
<Properties xmlns="http://schemas.openxmlformats.org/officeDocument/2006/custom-properties" xmlns:vt="http://schemas.openxmlformats.org/officeDocument/2006/docPropsVTypes"/>
</file>